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5AAF" w14:textId="701B6397" w:rsidR="007C7FE6" w:rsidRPr="007C7FE6" w:rsidRDefault="007C7FE6" w:rsidP="007C7FE6">
      <w:pPr>
        <w:spacing w:line="480" w:lineRule="auto"/>
        <w:ind w:left="1260" w:right="1242"/>
        <w:jc w:val="center"/>
        <w:rPr>
          <w:bCs/>
        </w:rPr>
      </w:pPr>
      <w:r w:rsidRPr="007C7FE6">
        <w:rPr>
          <w:bCs/>
        </w:rPr>
        <w:t xml:space="preserve">EXAMINING THE REGULATION OF THE BS21 HOMOLOGS </w:t>
      </w:r>
    </w:p>
    <w:p w14:paraId="4A8CA53A" w14:textId="0C7826C8" w:rsidR="007C7FE6" w:rsidRDefault="007C7FE6" w:rsidP="007C7FE6">
      <w:pPr>
        <w:spacing w:line="480" w:lineRule="auto"/>
        <w:ind w:left="1260" w:right="1242"/>
        <w:jc w:val="center"/>
        <w:rPr>
          <w:bCs/>
        </w:rPr>
      </w:pPr>
      <w:r w:rsidRPr="007C7FE6">
        <w:rPr>
          <w:bCs/>
        </w:rPr>
        <w:t xml:space="preserve">IN </w:t>
      </w:r>
      <w:r w:rsidRPr="007C7FE6">
        <w:rPr>
          <w:bCs/>
          <w:i/>
          <w:iCs/>
        </w:rPr>
        <w:t>FRANCISELLA TULARENSIS</w:t>
      </w:r>
      <w:r w:rsidRPr="007C7FE6">
        <w:rPr>
          <w:bCs/>
        </w:rPr>
        <w:t xml:space="preserve"> </w:t>
      </w:r>
    </w:p>
    <w:p w14:paraId="10AB7FF5" w14:textId="77777777" w:rsidR="007C7FE6" w:rsidRDefault="007C7FE6" w:rsidP="007C7FE6">
      <w:pPr>
        <w:spacing w:line="480" w:lineRule="auto"/>
        <w:jc w:val="center"/>
        <w:rPr>
          <w:bCs/>
        </w:rPr>
      </w:pPr>
      <w:r>
        <w:rPr>
          <w:bCs/>
        </w:rPr>
        <w:t>BY</w:t>
      </w:r>
    </w:p>
    <w:p w14:paraId="1E58A456" w14:textId="555A759C" w:rsidR="007C7FE6" w:rsidRDefault="007C7FE6" w:rsidP="007C7FE6">
      <w:pPr>
        <w:spacing w:line="480" w:lineRule="auto"/>
        <w:jc w:val="center"/>
        <w:rPr>
          <w:bCs/>
        </w:rPr>
      </w:pPr>
      <w:r>
        <w:rPr>
          <w:bCs/>
        </w:rPr>
        <w:t>SIERRA SCHMIDT</w:t>
      </w:r>
    </w:p>
    <w:p w14:paraId="49A531E9" w14:textId="77777777" w:rsidR="007C7FE6" w:rsidRDefault="007C7FE6" w:rsidP="007C7FE6">
      <w:pPr>
        <w:spacing w:line="480" w:lineRule="auto"/>
        <w:jc w:val="center"/>
        <w:rPr>
          <w:bCs/>
        </w:rPr>
      </w:pPr>
    </w:p>
    <w:p w14:paraId="61789A19" w14:textId="77777777" w:rsidR="007C7FE6" w:rsidRDefault="007C7FE6" w:rsidP="007C7FE6">
      <w:pPr>
        <w:spacing w:line="480" w:lineRule="auto"/>
        <w:rPr>
          <w:bCs/>
        </w:rPr>
      </w:pPr>
    </w:p>
    <w:p w14:paraId="6ABCA4D8" w14:textId="77777777" w:rsidR="007C7FE6" w:rsidRDefault="007C7FE6" w:rsidP="007C7FE6">
      <w:pPr>
        <w:spacing w:line="480" w:lineRule="auto"/>
        <w:rPr>
          <w:bCs/>
        </w:rPr>
      </w:pPr>
    </w:p>
    <w:p w14:paraId="620CE4A8" w14:textId="77777777" w:rsidR="007C7FE6" w:rsidRDefault="007C7FE6" w:rsidP="007C7FE6">
      <w:pPr>
        <w:spacing w:line="480" w:lineRule="auto"/>
        <w:rPr>
          <w:bCs/>
        </w:rPr>
      </w:pPr>
    </w:p>
    <w:p w14:paraId="23ACFA58" w14:textId="39E8BD3C" w:rsidR="007C7FE6" w:rsidRDefault="007C7FE6" w:rsidP="007C7FE6">
      <w:pPr>
        <w:spacing w:line="480" w:lineRule="auto"/>
        <w:jc w:val="center"/>
        <w:rPr>
          <w:bCs/>
        </w:rPr>
      </w:pPr>
      <w:r>
        <w:rPr>
          <w:bCs/>
        </w:rPr>
        <w:t>A THESIS SUBMITTED IN PARTIAL FULFILLMENT OF THE</w:t>
      </w:r>
    </w:p>
    <w:p w14:paraId="3E0CB85E" w14:textId="77777777" w:rsidR="007C7FE6" w:rsidRDefault="007C7FE6" w:rsidP="007C7FE6">
      <w:pPr>
        <w:spacing w:line="480" w:lineRule="auto"/>
        <w:jc w:val="center"/>
        <w:rPr>
          <w:bCs/>
        </w:rPr>
      </w:pPr>
      <w:r>
        <w:rPr>
          <w:bCs/>
        </w:rPr>
        <w:t>REQUIREMENTS FOR THE DEGREE OF</w:t>
      </w:r>
    </w:p>
    <w:p w14:paraId="0909C30C" w14:textId="440CBDDC" w:rsidR="007C7FE6" w:rsidRDefault="007C7FE6" w:rsidP="007C7FE6">
      <w:pPr>
        <w:spacing w:line="480" w:lineRule="auto"/>
        <w:jc w:val="center"/>
        <w:rPr>
          <w:bCs/>
        </w:rPr>
      </w:pPr>
      <w:r>
        <w:rPr>
          <w:bCs/>
        </w:rPr>
        <w:t>MASTER OF SCIENCE</w:t>
      </w:r>
    </w:p>
    <w:p w14:paraId="568C4F1E" w14:textId="77777777" w:rsidR="007C7FE6" w:rsidRDefault="007C7FE6" w:rsidP="007C7FE6">
      <w:pPr>
        <w:spacing w:line="480" w:lineRule="auto"/>
        <w:jc w:val="center"/>
        <w:rPr>
          <w:bCs/>
        </w:rPr>
      </w:pPr>
      <w:r>
        <w:rPr>
          <w:bCs/>
        </w:rPr>
        <w:t>IN</w:t>
      </w:r>
    </w:p>
    <w:p w14:paraId="5FC40EBC" w14:textId="256DAA4A" w:rsidR="007C7FE6" w:rsidRDefault="007C7FE6" w:rsidP="007C7FE6">
      <w:pPr>
        <w:spacing w:line="480" w:lineRule="auto"/>
        <w:jc w:val="center"/>
        <w:rPr>
          <w:bCs/>
        </w:rPr>
      </w:pPr>
      <w:r>
        <w:rPr>
          <w:bCs/>
        </w:rPr>
        <w:t>CELL AND MOLECULAR BIOLOGY</w:t>
      </w:r>
    </w:p>
    <w:p w14:paraId="7F761E28" w14:textId="77777777" w:rsidR="007C7FE6" w:rsidRDefault="007C7FE6" w:rsidP="007C7FE6">
      <w:pPr>
        <w:spacing w:line="480" w:lineRule="auto"/>
        <w:rPr>
          <w:bCs/>
        </w:rPr>
      </w:pPr>
    </w:p>
    <w:p w14:paraId="716FD8E4" w14:textId="77777777" w:rsidR="007C7FE6" w:rsidRDefault="007C7FE6" w:rsidP="007C7FE6">
      <w:pPr>
        <w:spacing w:line="480" w:lineRule="auto"/>
        <w:rPr>
          <w:bCs/>
        </w:rPr>
      </w:pPr>
    </w:p>
    <w:p w14:paraId="6AE0A67A" w14:textId="77777777" w:rsidR="007C7FE6" w:rsidRDefault="007C7FE6" w:rsidP="007C7FE6">
      <w:pPr>
        <w:spacing w:line="480" w:lineRule="auto"/>
        <w:rPr>
          <w:bCs/>
        </w:rPr>
      </w:pPr>
    </w:p>
    <w:p w14:paraId="475F75B4" w14:textId="77777777" w:rsidR="007C7FE6" w:rsidRDefault="007C7FE6" w:rsidP="007C7FE6">
      <w:pPr>
        <w:spacing w:line="480" w:lineRule="auto"/>
        <w:rPr>
          <w:bCs/>
        </w:rPr>
      </w:pPr>
    </w:p>
    <w:p w14:paraId="34335D12" w14:textId="77777777" w:rsidR="007C7FE6" w:rsidRDefault="007C7FE6" w:rsidP="007C7FE6">
      <w:pPr>
        <w:spacing w:line="480" w:lineRule="auto"/>
        <w:rPr>
          <w:bCs/>
        </w:rPr>
      </w:pPr>
    </w:p>
    <w:p w14:paraId="31865DD9" w14:textId="77777777" w:rsidR="007C7FE6" w:rsidRDefault="007C7FE6" w:rsidP="007C7FE6">
      <w:pPr>
        <w:spacing w:line="480" w:lineRule="auto"/>
        <w:jc w:val="center"/>
        <w:rPr>
          <w:bCs/>
        </w:rPr>
      </w:pPr>
      <w:r>
        <w:rPr>
          <w:bCs/>
        </w:rPr>
        <w:t>UNIVERSITY OF RHODE ISLAND</w:t>
      </w:r>
    </w:p>
    <w:p w14:paraId="1E2AF5DD" w14:textId="1C76DB86" w:rsidR="007C7FE6" w:rsidRDefault="007C7FE6" w:rsidP="007C7FE6">
      <w:pPr>
        <w:spacing w:line="480" w:lineRule="auto"/>
        <w:jc w:val="center"/>
        <w:rPr>
          <w:bCs/>
        </w:rPr>
      </w:pPr>
      <w:r>
        <w:rPr>
          <w:bCs/>
        </w:rPr>
        <w:t>2023</w:t>
      </w:r>
    </w:p>
    <w:p w14:paraId="79AF91AA" w14:textId="77777777" w:rsidR="007C7FE6" w:rsidRDefault="007C7FE6" w:rsidP="007C7FE6">
      <w:pPr>
        <w:spacing w:line="480" w:lineRule="auto"/>
        <w:jc w:val="center"/>
        <w:rPr>
          <w:bCs/>
        </w:rPr>
      </w:pPr>
    </w:p>
    <w:p w14:paraId="03DF95F3" w14:textId="77777777" w:rsidR="007C7FE6" w:rsidRDefault="007C7FE6" w:rsidP="007C7FE6">
      <w:pPr>
        <w:spacing w:line="480" w:lineRule="auto"/>
        <w:jc w:val="center"/>
        <w:rPr>
          <w:bCs/>
        </w:rPr>
      </w:pPr>
    </w:p>
    <w:p w14:paraId="1574AF0E" w14:textId="5EF93A35" w:rsidR="002F7F7A" w:rsidRDefault="00000000" w:rsidP="007C7FE6">
      <w:pPr>
        <w:spacing w:line="480" w:lineRule="auto"/>
        <w:jc w:val="center"/>
      </w:pPr>
      <w:r>
        <w:lastRenderedPageBreak/>
        <w:t xml:space="preserve">MASTER OF </w:t>
      </w:r>
      <w:r w:rsidR="00F74F60">
        <w:rPr>
          <w:iCs/>
        </w:rPr>
        <w:t>SCIENCE</w:t>
      </w:r>
      <w:r>
        <w:t xml:space="preserve"> </w:t>
      </w:r>
      <w:r w:rsidR="007C7FE6">
        <w:t xml:space="preserve">IN CELL AND MOLECULAR BIOLOGY </w:t>
      </w:r>
      <w:r>
        <w:t>THESIS</w:t>
      </w:r>
    </w:p>
    <w:p w14:paraId="386C58F8" w14:textId="77777777" w:rsidR="002F7F7A" w:rsidRDefault="002F7F7A"/>
    <w:p w14:paraId="2F9DF45E" w14:textId="77777777" w:rsidR="002F7F7A" w:rsidRDefault="00000000">
      <w:pPr>
        <w:jc w:val="center"/>
      </w:pPr>
      <w:r>
        <w:t>OF</w:t>
      </w:r>
    </w:p>
    <w:p w14:paraId="59B47E8F" w14:textId="77777777" w:rsidR="002F7F7A" w:rsidRDefault="002F7F7A"/>
    <w:p w14:paraId="7C680791" w14:textId="01A7F188" w:rsidR="002F7F7A" w:rsidRDefault="00F74F60">
      <w:pPr>
        <w:jc w:val="center"/>
        <w:rPr>
          <w:iCs/>
        </w:rPr>
      </w:pPr>
      <w:r>
        <w:rPr>
          <w:iCs/>
        </w:rPr>
        <w:t>SIERRA SCHMIDT</w:t>
      </w:r>
    </w:p>
    <w:p w14:paraId="3DF73ACA" w14:textId="77777777" w:rsidR="002F7F7A" w:rsidRDefault="002F7F7A"/>
    <w:p w14:paraId="50972DA0" w14:textId="77777777" w:rsidR="002F7F7A" w:rsidRDefault="002F7F7A"/>
    <w:p w14:paraId="52BE2F96" w14:textId="77777777" w:rsidR="002F7F7A" w:rsidRDefault="002F7F7A"/>
    <w:p w14:paraId="65346CE0" w14:textId="77777777" w:rsidR="002F7F7A" w:rsidRDefault="002F7F7A"/>
    <w:p w14:paraId="2741AFFC" w14:textId="77777777" w:rsidR="002F7F7A" w:rsidRDefault="002F7F7A"/>
    <w:p w14:paraId="1E090B86" w14:textId="77777777" w:rsidR="002F7F7A" w:rsidRDefault="002F7F7A"/>
    <w:p w14:paraId="5C0BD743" w14:textId="77777777" w:rsidR="002F7F7A" w:rsidRDefault="002F7F7A"/>
    <w:p w14:paraId="4D4E1F66" w14:textId="77777777" w:rsidR="002F7F7A" w:rsidRDefault="002F7F7A"/>
    <w:p w14:paraId="491761C6" w14:textId="77777777" w:rsidR="002F7F7A" w:rsidRDefault="002F7F7A"/>
    <w:p w14:paraId="210EBAFA" w14:textId="77777777" w:rsidR="002F7F7A" w:rsidRDefault="002F7F7A"/>
    <w:p w14:paraId="4D27DEB0" w14:textId="77777777" w:rsidR="002F7F7A" w:rsidRDefault="002F7F7A"/>
    <w:p w14:paraId="0D96E5ED" w14:textId="77777777" w:rsidR="002F7F7A" w:rsidRDefault="00000000">
      <w:pPr>
        <w:ind w:left="720" w:firstLine="720"/>
      </w:pPr>
      <w:r>
        <w:t xml:space="preserve">APPROVED: </w:t>
      </w:r>
    </w:p>
    <w:p w14:paraId="70FF5C5C" w14:textId="77777777" w:rsidR="002F7F7A" w:rsidRDefault="002F7F7A"/>
    <w:p w14:paraId="0F871628" w14:textId="77777777" w:rsidR="002F7F7A" w:rsidRDefault="00000000">
      <w:pPr>
        <w:ind w:left="1440" w:firstLine="720"/>
      </w:pPr>
      <w:r>
        <w:t>Thesis Committee:</w:t>
      </w:r>
    </w:p>
    <w:p w14:paraId="4C69C330" w14:textId="77777777" w:rsidR="002F7F7A" w:rsidRDefault="002F7F7A"/>
    <w:p w14:paraId="1071ED4B" w14:textId="107E4617" w:rsidR="002F7F7A" w:rsidRDefault="00000000">
      <w:pPr>
        <w:ind w:left="2160"/>
      </w:pPr>
      <w:r>
        <w:t>Major Professor</w:t>
      </w:r>
      <w:r>
        <w:tab/>
      </w:r>
      <w:r w:rsidR="007C7FE6">
        <w:t>Kathryn Ramsey</w:t>
      </w:r>
    </w:p>
    <w:p w14:paraId="7DA91C73" w14:textId="77777777" w:rsidR="002F7F7A" w:rsidRDefault="002F7F7A">
      <w:pPr>
        <w:ind w:left="2160"/>
      </w:pPr>
    </w:p>
    <w:p w14:paraId="5BB56F8C" w14:textId="0720A392" w:rsidR="002F7F7A" w:rsidRDefault="00000000">
      <w:pPr>
        <w:ind w:left="2160"/>
      </w:pPr>
      <w:r>
        <w:tab/>
      </w:r>
      <w:r>
        <w:tab/>
      </w:r>
      <w:r>
        <w:tab/>
      </w:r>
      <w:r w:rsidR="007C7FE6">
        <w:t>Steven Gregory</w:t>
      </w:r>
    </w:p>
    <w:p w14:paraId="5A852CCB" w14:textId="77777777" w:rsidR="002F7F7A" w:rsidRDefault="002F7F7A">
      <w:pPr>
        <w:ind w:left="2160"/>
      </w:pPr>
    </w:p>
    <w:p w14:paraId="421446E8" w14:textId="4D805C44" w:rsidR="002F7F7A" w:rsidRDefault="00000000">
      <w:pPr>
        <w:ind w:left="2160"/>
      </w:pPr>
      <w:r>
        <w:tab/>
      </w:r>
      <w:r>
        <w:tab/>
      </w:r>
      <w:r>
        <w:tab/>
      </w:r>
      <w:r w:rsidR="007C7FE6">
        <w:t>David Rowley</w:t>
      </w:r>
    </w:p>
    <w:p w14:paraId="1EF0FFFC" w14:textId="77777777" w:rsidR="002F7F7A" w:rsidRDefault="002F7F7A">
      <w:pPr>
        <w:ind w:left="2160"/>
      </w:pPr>
    </w:p>
    <w:p w14:paraId="1E9927E3" w14:textId="50608C58" w:rsidR="002F7F7A" w:rsidRDefault="00000000">
      <w:pPr>
        <w:ind w:left="2160"/>
      </w:pPr>
      <w:r>
        <w:tab/>
      </w:r>
      <w:r>
        <w:tab/>
      </w:r>
      <w:r>
        <w:tab/>
      </w:r>
    </w:p>
    <w:p w14:paraId="749BF1EC" w14:textId="77777777" w:rsidR="002F7F7A" w:rsidRDefault="00000000">
      <w:pPr>
        <w:ind w:left="3600"/>
      </w:pPr>
      <w:r>
        <w:t xml:space="preserve">  </w:t>
      </w:r>
      <w:r>
        <w:tab/>
      </w:r>
    </w:p>
    <w:p w14:paraId="1D9CEF5C" w14:textId="77777777" w:rsidR="002F7F7A" w:rsidRDefault="00000000">
      <w:r>
        <w:tab/>
      </w:r>
      <w:r>
        <w:tab/>
      </w:r>
      <w:r>
        <w:tab/>
      </w:r>
      <w:r>
        <w:tab/>
      </w:r>
      <w:r>
        <w:tab/>
      </w:r>
      <w:r>
        <w:tab/>
        <w:t>Brenton DeBoef</w:t>
      </w:r>
    </w:p>
    <w:p w14:paraId="28976361" w14:textId="77777777" w:rsidR="002F7F7A" w:rsidRDefault="00000000">
      <w:pPr>
        <w:ind w:left="2880" w:right="-720" w:firstLine="720"/>
      </w:pPr>
      <w:r>
        <w:t xml:space="preserve">  DEAN OF THE GRADUATE SCHOOL</w:t>
      </w:r>
    </w:p>
    <w:p w14:paraId="52CC5A9A" w14:textId="77777777" w:rsidR="002F7F7A" w:rsidRDefault="002F7F7A">
      <w:pPr>
        <w:ind w:right="-720"/>
      </w:pPr>
    </w:p>
    <w:p w14:paraId="04BCA209" w14:textId="77777777" w:rsidR="002F7F7A" w:rsidRDefault="002F7F7A">
      <w:pPr>
        <w:ind w:right="-720"/>
      </w:pPr>
    </w:p>
    <w:p w14:paraId="53A0EFD0" w14:textId="77777777" w:rsidR="002F7F7A" w:rsidRDefault="002F7F7A">
      <w:pPr>
        <w:ind w:right="-720"/>
      </w:pPr>
    </w:p>
    <w:p w14:paraId="601CCF69" w14:textId="77777777" w:rsidR="002F7F7A" w:rsidRDefault="002F7F7A">
      <w:pPr>
        <w:ind w:right="-720"/>
      </w:pPr>
    </w:p>
    <w:p w14:paraId="4C4DC89C" w14:textId="77777777" w:rsidR="002F7F7A" w:rsidRDefault="002F7F7A">
      <w:pPr>
        <w:ind w:right="-720"/>
      </w:pPr>
    </w:p>
    <w:p w14:paraId="5F15DDDD" w14:textId="77777777" w:rsidR="002F7F7A" w:rsidRDefault="002F7F7A">
      <w:pPr>
        <w:ind w:right="-720"/>
      </w:pPr>
    </w:p>
    <w:p w14:paraId="64ED5547" w14:textId="77777777" w:rsidR="002F7F7A" w:rsidRDefault="002F7F7A">
      <w:pPr>
        <w:ind w:right="-720"/>
      </w:pPr>
    </w:p>
    <w:p w14:paraId="7FED7781" w14:textId="77777777" w:rsidR="002F7F7A" w:rsidRDefault="00000000">
      <w:pPr>
        <w:ind w:right="-720"/>
        <w:jc w:val="center"/>
        <w:rPr>
          <w:iCs/>
        </w:rPr>
      </w:pPr>
      <w:r>
        <w:t>UNIVERSITY OF RHODE ISLAND</w:t>
      </w:r>
    </w:p>
    <w:p w14:paraId="4E40C7EB" w14:textId="6FC397BE" w:rsidR="002F7F7A" w:rsidRPr="0000083B" w:rsidRDefault="00F74F60" w:rsidP="0000083B">
      <w:pPr>
        <w:ind w:right="-720"/>
        <w:jc w:val="center"/>
        <w:rPr>
          <w:iCs/>
        </w:rPr>
        <w:sectPr w:rsidR="002F7F7A" w:rsidRPr="0000083B">
          <w:pgSz w:w="12240" w:h="15840"/>
          <w:pgMar w:top="1440" w:right="1440" w:bottom="1440" w:left="2160" w:header="0" w:footer="0" w:gutter="0"/>
          <w:cols w:space="720"/>
          <w:formProt w:val="0"/>
          <w:docGrid w:linePitch="600" w:charSpace="32768"/>
        </w:sectPr>
      </w:pPr>
      <w:r>
        <w:rPr>
          <w:iCs/>
        </w:rPr>
        <w:t>202</w:t>
      </w:r>
      <w:r w:rsidR="0000083B">
        <w:rPr>
          <w:iCs/>
        </w:rPr>
        <w:t>3</w:t>
      </w:r>
    </w:p>
    <w:p w14:paraId="6FC1B70E" w14:textId="77777777" w:rsidR="0000083B" w:rsidRDefault="0000083B" w:rsidP="0000083B">
      <w:pPr>
        <w:tabs>
          <w:tab w:val="left" w:pos="1071"/>
        </w:tabs>
      </w:pPr>
    </w:p>
    <w:p w14:paraId="7838DB51" w14:textId="77777777" w:rsidR="0000083B" w:rsidRPr="0000083B" w:rsidRDefault="0000083B" w:rsidP="0000083B"/>
    <w:p w14:paraId="6EE03DDB" w14:textId="77777777" w:rsidR="0000083B" w:rsidRDefault="0000083B" w:rsidP="0000083B"/>
    <w:p w14:paraId="2664016E" w14:textId="77777777" w:rsidR="002F7F7A" w:rsidRDefault="00000000" w:rsidP="0000083B">
      <w:pPr>
        <w:pStyle w:val="Title"/>
        <w:rPr>
          <w:b/>
        </w:rPr>
      </w:pPr>
      <w:bookmarkStart w:id="0" w:name="__RefHeading___Toc235935194"/>
      <w:bookmarkEnd w:id="0"/>
      <w:r>
        <w:rPr>
          <w:b/>
        </w:rPr>
        <w:t>TABLE OF CONTENTS</w:t>
      </w:r>
    </w:p>
    <w:p w14:paraId="6597AD07" w14:textId="77777777" w:rsidR="002F7F7A" w:rsidRDefault="002F7F7A">
      <w:pPr>
        <w:pStyle w:val="Title"/>
      </w:pPr>
    </w:p>
    <w:p w14:paraId="06D5DE1B" w14:textId="77777777" w:rsidR="002F7F7A" w:rsidRDefault="00000000">
      <w:pPr>
        <w:pStyle w:val="Title"/>
        <w:jc w:val="left"/>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sdt>
      <w:sdtPr>
        <w:id w:val="-425963363"/>
        <w:docPartObj>
          <w:docPartGallery w:val="Table of Contents"/>
          <w:docPartUnique/>
        </w:docPartObj>
      </w:sdtPr>
      <w:sdtContent>
        <w:p w14:paraId="490396C4" w14:textId="0B46BE8C" w:rsidR="00162400" w:rsidRDefault="00000000">
          <w:pPr>
            <w:pStyle w:val="TOC1"/>
            <w:rPr>
              <w:rFonts w:asciiTheme="minorHAnsi" w:eastAsiaTheme="minorEastAsia" w:hAnsiTheme="minorHAnsi" w:cstheme="minorBidi"/>
              <w:noProof/>
              <w:kern w:val="2"/>
              <w:sz w:val="22"/>
              <w:szCs w:val="22"/>
              <w:lang w:eastAsia="en-US"/>
              <w14:ligatures w14:val="standardContextual"/>
            </w:rPr>
          </w:pPr>
          <w:r>
            <w:fldChar w:fldCharType="begin"/>
          </w:r>
          <w:r>
            <w:rPr>
              <w:rStyle w:val="IndexLink"/>
              <w:color w:val="000000"/>
            </w:rPr>
            <w:instrText>TOC \o "1-3" \h \z \u</w:instrText>
          </w:r>
          <w:r>
            <w:rPr>
              <w:rStyle w:val="IndexLink"/>
              <w:color w:val="000000"/>
            </w:rPr>
            <w:fldChar w:fldCharType="separate"/>
          </w:r>
          <w:hyperlink w:anchor="_Toc141519746" w:history="1">
            <w:r w:rsidR="00162400" w:rsidRPr="00CD60B0">
              <w:rPr>
                <w:rStyle w:val="Hyperlink"/>
                <w:noProof/>
              </w:rPr>
              <w:t>CHAPTER 3</w:t>
            </w:r>
            <w:r w:rsidR="00162400">
              <w:rPr>
                <w:noProof/>
                <w:webHidden/>
              </w:rPr>
              <w:tab/>
            </w:r>
            <w:r w:rsidR="00162400">
              <w:rPr>
                <w:noProof/>
                <w:webHidden/>
              </w:rPr>
              <w:fldChar w:fldCharType="begin"/>
            </w:r>
            <w:r w:rsidR="00162400">
              <w:rPr>
                <w:noProof/>
                <w:webHidden/>
              </w:rPr>
              <w:instrText xml:space="preserve"> PAGEREF _Toc141519746 \h </w:instrText>
            </w:r>
            <w:r w:rsidR="00162400">
              <w:rPr>
                <w:noProof/>
                <w:webHidden/>
              </w:rPr>
            </w:r>
            <w:r w:rsidR="00162400">
              <w:rPr>
                <w:noProof/>
                <w:webHidden/>
              </w:rPr>
              <w:fldChar w:fldCharType="separate"/>
            </w:r>
            <w:r w:rsidR="00162400">
              <w:rPr>
                <w:noProof/>
                <w:webHidden/>
              </w:rPr>
              <w:t>4</w:t>
            </w:r>
            <w:r w:rsidR="00162400">
              <w:rPr>
                <w:noProof/>
                <w:webHidden/>
              </w:rPr>
              <w:fldChar w:fldCharType="end"/>
            </w:r>
          </w:hyperlink>
        </w:p>
        <w:p w14:paraId="29BBBACA" w14:textId="364C3D23" w:rsidR="00162400"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41519747" w:history="1">
            <w:r w:rsidR="00162400" w:rsidRPr="00CD60B0">
              <w:rPr>
                <w:rStyle w:val="Hyperlink"/>
                <w:noProof/>
              </w:rPr>
              <w:t>Manuscript 2</w:t>
            </w:r>
            <w:r w:rsidR="00162400">
              <w:rPr>
                <w:noProof/>
                <w:webHidden/>
              </w:rPr>
              <w:tab/>
            </w:r>
            <w:r w:rsidR="00162400">
              <w:rPr>
                <w:noProof/>
                <w:webHidden/>
              </w:rPr>
              <w:fldChar w:fldCharType="begin"/>
            </w:r>
            <w:r w:rsidR="00162400">
              <w:rPr>
                <w:noProof/>
                <w:webHidden/>
              </w:rPr>
              <w:instrText xml:space="preserve"> PAGEREF _Toc141519747 \h </w:instrText>
            </w:r>
            <w:r w:rsidR="00162400">
              <w:rPr>
                <w:noProof/>
                <w:webHidden/>
              </w:rPr>
            </w:r>
            <w:r w:rsidR="00162400">
              <w:rPr>
                <w:noProof/>
                <w:webHidden/>
              </w:rPr>
              <w:fldChar w:fldCharType="separate"/>
            </w:r>
            <w:r w:rsidR="00162400">
              <w:rPr>
                <w:noProof/>
                <w:webHidden/>
              </w:rPr>
              <w:t>4</w:t>
            </w:r>
            <w:r w:rsidR="00162400">
              <w:rPr>
                <w:noProof/>
                <w:webHidden/>
              </w:rPr>
              <w:fldChar w:fldCharType="end"/>
            </w:r>
          </w:hyperlink>
        </w:p>
        <w:p w14:paraId="21F9AC34" w14:textId="7772FBFB"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48" w:history="1">
            <w:r w:rsidR="00162400" w:rsidRPr="00CD60B0">
              <w:rPr>
                <w:rStyle w:val="Hyperlink"/>
                <w:noProof/>
              </w:rPr>
              <w:t>Abstract</w:t>
            </w:r>
            <w:r w:rsidR="00162400">
              <w:rPr>
                <w:noProof/>
                <w:webHidden/>
              </w:rPr>
              <w:tab/>
            </w:r>
            <w:r w:rsidR="00162400">
              <w:rPr>
                <w:noProof/>
                <w:webHidden/>
              </w:rPr>
              <w:fldChar w:fldCharType="begin"/>
            </w:r>
            <w:r w:rsidR="00162400">
              <w:rPr>
                <w:noProof/>
                <w:webHidden/>
              </w:rPr>
              <w:instrText xml:space="preserve"> PAGEREF _Toc141519748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0250120C" w14:textId="68F333AF"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49" w:history="1">
            <w:r w:rsidR="00162400" w:rsidRPr="00CD60B0">
              <w:rPr>
                <w:rStyle w:val="Hyperlink"/>
                <w:noProof/>
              </w:rPr>
              <w:t>Importance</w:t>
            </w:r>
            <w:r w:rsidR="00162400">
              <w:rPr>
                <w:noProof/>
                <w:webHidden/>
              </w:rPr>
              <w:tab/>
            </w:r>
            <w:r w:rsidR="00162400">
              <w:rPr>
                <w:noProof/>
                <w:webHidden/>
              </w:rPr>
              <w:fldChar w:fldCharType="begin"/>
            </w:r>
            <w:r w:rsidR="00162400">
              <w:rPr>
                <w:noProof/>
                <w:webHidden/>
              </w:rPr>
              <w:instrText xml:space="preserve"> PAGEREF _Toc141519749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54D110F4" w14:textId="0058313F"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0" w:history="1">
            <w:r w:rsidR="00162400" w:rsidRPr="00CD60B0">
              <w:rPr>
                <w:rStyle w:val="Hyperlink"/>
                <w:noProof/>
              </w:rPr>
              <w:t>Introduction</w:t>
            </w:r>
            <w:r w:rsidR="00162400">
              <w:rPr>
                <w:noProof/>
                <w:webHidden/>
              </w:rPr>
              <w:tab/>
            </w:r>
            <w:r w:rsidR="00162400">
              <w:rPr>
                <w:noProof/>
                <w:webHidden/>
              </w:rPr>
              <w:fldChar w:fldCharType="begin"/>
            </w:r>
            <w:r w:rsidR="00162400">
              <w:rPr>
                <w:noProof/>
                <w:webHidden/>
              </w:rPr>
              <w:instrText xml:space="preserve"> PAGEREF _Toc141519750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73843C21" w14:textId="039D42DA"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1" w:history="1">
            <w:r w:rsidR="00162400" w:rsidRPr="00CD60B0">
              <w:rPr>
                <w:rStyle w:val="Hyperlink"/>
                <w:noProof/>
              </w:rPr>
              <w:t>Results</w:t>
            </w:r>
            <w:r w:rsidR="00162400">
              <w:rPr>
                <w:noProof/>
                <w:webHidden/>
              </w:rPr>
              <w:tab/>
            </w:r>
            <w:r w:rsidR="00162400">
              <w:rPr>
                <w:noProof/>
                <w:webHidden/>
              </w:rPr>
              <w:fldChar w:fldCharType="begin"/>
            </w:r>
            <w:r w:rsidR="00162400">
              <w:rPr>
                <w:noProof/>
                <w:webHidden/>
              </w:rPr>
              <w:instrText xml:space="preserve"> PAGEREF _Toc141519751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3303A684" w14:textId="6D5D58C4"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2" w:history="1">
            <w:r w:rsidR="00162400" w:rsidRPr="00CD60B0">
              <w:rPr>
                <w:rStyle w:val="Hyperlink"/>
                <w:noProof/>
              </w:rPr>
              <w:t>Discussion</w:t>
            </w:r>
            <w:r w:rsidR="00162400">
              <w:rPr>
                <w:noProof/>
                <w:webHidden/>
              </w:rPr>
              <w:tab/>
            </w:r>
            <w:r w:rsidR="00162400">
              <w:rPr>
                <w:noProof/>
                <w:webHidden/>
              </w:rPr>
              <w:fldChar w:fldCharType="begin"/>
            </w:r>
            <w:r w:rsidR="00162400">
              <w:rPr>
                <w:noProof/>
                <w:webHidden/>
              </w:rPr>
              <w:instrText xml:space="preserve"> PAGEREF _Toc141519752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2E17D86A" w14:textId="1F8AC471"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3" w:history="1">
            <w:r w:rsidR="00162400" w:rsidRPr="00CD60B0">
              <w:rPr>
                <w:rStyle w:val="Hyperlink"/>
                <w:noProof/>
              </w:rPr>
              <w:t>Materials and Methods</w:t>
            </w:r>
            <w:r w:rsidR="00162400">
              <w:rPr>
                <w:noProof/>
                <w:webHidden/>
              </w:rPr>
              <w:tab/>
            </w:r>
            <w:r w:rsidR="00162400">
              <w:rPr>
                <w:noProof/>
                <w:webHidden/>
              </w:rPr>
              <w:fldChar w:fldCharType="begin"/>
            </w:r>
            <w:r w:rsidR="00162400">
              <w:rPr>
                <w:noProof/>
                <w:webHidden/>
              </w:rPr>
              <w:instrText xml:space="preserve"> PAGEREF _Toc141519753 \h </w:instrText>
            </w:r>
            <w:r w:rsidR="00162400">
              <w:rPr>
                <w:noProof/>
                <w:webHidden/>
              </w:rPr>
            </w:r>
            <w:r w:rsidR="00162400">
              <w:rPr>
                <w:noProof/>
                <w:webHidden/>
              </w:rPr>
              <w:fldChar w:fldCharType="separate"/>
            </w:r>
            <w:r w:rsidR="00162400">
              <w:rPr>
                <w:noProof/>
                <w:webHidden/>
              </w:rPr>
              <w:t>7</w:t>
            </w:r>
            <w:r w:rsidR="00162400">
              <w:rPr>
                <w:noProof/>
                <w:webHidden/>
              </w:rPr>
              <w:fldChar w:fldCharType="end"/>
            </w:r>
          </w:hyperlink>
        </w:p>
        <w:p w14:paraId="63D638C4" w14:textId="467EE6B6" w:rsidR="00162400"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41519754" w:history="1">
            <w:r w:rsidR="00162400" w:rsidRPr="00CD60B0">
              <w:rPr>
                <w:rStyle w:val="Hyperlink"/>
                <w:noProof/>
              </w:rPr>
              <w:t>REFERENCES</w:t>
            </w:r>
            <w:r w:rsidR="00162400">
              <w:rPr>
                <w:noProof/>
                <w:webHidden/>
              </w:rPr>
              <w:tab/>
            </w:r>
            <w:r w:rsidR="00162400">
              <w:rPr>
                <w:noProof/>
                <w:webHidden/>
              </w:rPr>
              <w:fldChar w:fldCharType="begin"/>
            </w:r>
            <w:r w:rsidR="00162400">
              <w:rPr>
                <w:noProof/>
                <w:webHidden/>
              </w:rPr>
              <w:instrText xml:space="preserve"> PAGEREF _Toc141519754 \h </w:instrText>
            </w:r>
            <w:r w:rsidR="00162400">
              <w:rPr>
                <w:noProof/>
                <w:webHidden/>
              </w:rPr>
            </w:r>
            <w:r w:rsidR="00162400">
              <w:rPr>
                <w:noProof/>
                <w:webHidden/>
              </w:rPr>
              <w:fldChar w:fldCharType="separate"/>
            </w:r>
            <w:r w:rsidR="00162400">
              <w:rPr>
                <w:noProof/>
                <w:webHidden/>
              </w:rPr>
              <w:t>8</w:t>
            </w:r>
            <w:r w:rsidR="00162400">
              <w:rPr>
                <w:noProof/>
                <w:webHidden/>
              </w:rPr>
              <w:fldChar w:fldCharType="end"/>
            </w:r>
          </w:hyperlink>
        </w:p>
        <w:p w14:paraId="4EC71C41" w14:textId="2C4CA460" w:rsidR="002F7F7A" w:rsidRDefault="00000000">
          <w:pPr>
            <w:pStyle w:val="TOC1"/>
            <w:tabs>
              <w:tab w:val="clear" w:pos="8342"/>
              <w:tab w:val="right" w:leader="dot" w:pos="8352"/>
            </w:tabs>
          </w:pPr>
          <w:r>
            <w:rPr>
              <w:rStyle w:val="IndexLink"/>
              <w:color w:val="000000"/>
            </w:rPr>
            <w:fldChar w:fldCharType="end"/>
          </w:r>
        </w:p>
      </w:sdtContent>
    </w:sdt>
    <w:p w14:paraId="4793C27A" w14:textId="77777777" w:rsidR="002F7F7A" w:rsidRDefault="00000000">
      <w:pPr>
        <w:spacing w:line="480" w:lineRule="auto"/>
        <w:rPr>
          <w:color w:val="000000"/>
        </w:rPr>
      </w:pPr>
      <w:r>
        <w:br w:type="page"/>
      </w:r>
    </w:p>
    <w:p w14:paraId="2043669A" w14:textId="22D02628" w:rsidR="00507E90" w:rsidRDefault="00507E90" w:rsidP="00507E90">
      <w:pPr>
        <w:pStyle w:val="Heading1"/>
      </w:pPr>
      <w:bookmarkStart w:id="1" w:name="_Toc129859356"/>
      <w:bookmarkStart w:id="2" w:name="_Toc141519746"/>
      <w:r>
        <w:lastRenderedPageBreak/>
        <w:t xml:space="preserve">CHAPTER </w:t>
      </w:r>
      <w:bookmarkEnd w:id="1"/>
      <w:bookmarkEnd w:id="2"/>
      <w:r w:rsidR="008221F3">
        <w:t>2</w:t>
      </w:r>
    </w:p>
    <w:p w14:paraId="54C3D2CC" w14:textId="77777777" w:rsidR="00507E90" w:rsidRDefault="00507E90" w:rsidP="00507E90">
      <w:pPr>
        <w:spacing w:line="480" w:lineRule="auto"/>
        <w:jc w:val="center"/>
        <w:rPr>
          <w:szCs w:val="24"/>
        </w:rPr>
      </w:pPr>
    </w:p>
    <w:p w14:paraId="777AC66E" w14:textId="17E1434D" w:rsidR="00507E90" w:rsidRDefault="00507E90" w:rsidP="00507E90">
      <w:pPr>
        <w:pStyle w:val="Heading2"/>
        <w:numPr>
          <w:ilvl w:val="1"/>
          <w:numId w:val="2"/>
        </w:numPr>
        <w:jc w:val="center"/>
      </w:pPr>
      <w:bookmarkStart w:id="3" w:name="_Toc129859357"/>
      <w:bookmarkStart w:id="4" w:name="_Toc141519747"/>
      <w:r>
        <w:t xml:space="preserve">Manuscript </w:t>
      </w:r>
      <w:bookmarkEnd w:id="3"/>
      <w:bookmarkEnd w:id="4"/>
      <w:r w:rsidR="008221F3">
        <w:t>1</w:t>
      </w:r>
    </w:p>
    <w:p w14:paraId="5B59D4BE" w14:textId="77777777" w:rsidR="00507E90" w:rsidRDefault="00507E90" w:rsidP="0000083B">
      <w:pPr>
        <w:spacing w:line="480" w:lineRule="auto"/>
        <w:jc w:val="center"/>
        <w:rPr>
          <w:b/>
          <w:bCs/>
        </w:rPr>
      </w:pPr>
    </w:p>
    <w:p w14:paraId="2E289FDF" w14:textId="7D761EEF" w:rsidR="0000083B" w:rsidRDefault="0000083B" w:rsidP="0000083B">
      <w:pPr>
        <w:spacing w:line="480" w:lineRule="auto"/>
        <w:jc w:val="center"/>
      </w:pPr>
      <w:r>
        <w:rPr>
          <w:b/>
          <w:bCs/>
        </w:rPr>
        <w:t>bS21-</w:t>
      </w:r>
      <w:r w:rsidR="004D6189">
        <w:rPr>
          <w:b/>
          <w:bCs/>
        </w:rPr>
        <w:t>2</w:t>
      </w:r>
      <w:r>
        <w:rPr>
          <w:b/>
          <w:bCs/>
        </w:rPr>
        <w:t xml:space="preserve"> </w:t>
      </w:r>
      <w:r w:rsidR="004D6189">
        <w:rPr>
          <w:b/>
          <w:bCs/>
        </w:rPr>
        <w:t xml:space="preserve">reduces the stability of its </w:t>
      </w:r>
      <w:r>
        <w:rPr>
          <w:b/>
          <w:bCs/>
        </w:rPr>
        <w:t xml:space="preserve"> in </w:t>
      </w:r>
      <w:r w:rsidRPr="00EC3BEF">
        <w:rPr>
          <w:b/>
          <w:bCs/>
          <w:i/>
          <w:iCs/>
        </w:rPr>
        <w:t>Francisella tularensis</w:t>
      </w:r>
    </w:p>
    <w:p w14:paraId="6789E7C8" w14:textId="77777777" w:rsidR="0000083B" w:rsidRDefault="0000083B" w:rsidP="0000083B">
      <w:pPr>
        <w:spacing w:line="480" w:lineRule="auto"/>
        <w:jc w:val="center"/>
      </w:pPr>
    </w:p>
    <w:p w14:paraId="308DBF38" w14:textId="4CCDB7D9" w:rsidR="0000083B" w:rsidRPr="000975E7" w:rsidRDefault="00507E90" w:rsidP="0000083B">
      <w:pPr>
        <w:spacing w:line="480" w:lineRule="auto"/>
        <w:jc w:val="center"/>
        <w:rPr>
          <w:i/>
          <w:iCs/>
        </w:rPr>
      </w:pPr>
      <w:r>
        <w:rPr>
          <w:i/>
          <w:iCs/>
        </w:rPr>
        <w:t>?????????????????</w:t>
      </w:r>
    </w:p>
    <w:p w14:paraId="48ED9FD5" w14:textId="77777777" w:rsidR="0000083B" w:rsidRDefault="0000083B" w:rsidP="0000083B">
      <w:pPr>
        <w:jc w:val="center"/>
      </w:pPr>
    </w:p>
    <w:p w14:paraId="5F199C13" w14:textId="77777777" w:rsidR="0000083B" w:rsidRDefault="0000083B" w:rsidP="0000083B">
      <w:pPr>
        <w:spacing w:line="480" w:lineRule="auto"/>
        <w:ind w:firstLine="450"/>
        <w:rPr>
          <w:szCs w:val="24"/>
        </w:rPr>
      </w:pPr>
    </w:p>
    <w:p w14:paraId="74855BBE" w14:textId="6F1021B3" w:rsidR="0000083B" w:rsidRPr="002B2C4F" w:rsidRDefault="0000083B" w:rsidP="0000083B">
      <w:pPr>
        <w:suppressLineNumbers/>
        <w:spacing w:line="480" w:lineRule="auto"/>
        <w:jc w:val="center"/>
        <w:rPr>
          <w:rFonts w:cs="Arial"/>
          <w:color w:val="000000" w:themeColor="text1"/>
          <w:vertAlign w:val="superscript"/>
        </w:rPr>
      </w:pPr>
      <w:r>
        <w:rPr>
          <w:rFonts w:cs="Arial"/>
          <w:color w:val="000000" w:themeColor="text1"/>
        </w:rPr>
        <w:t>Sierra S. Schmidt</w:t>
      </w:r>
      <w:r w:rsidRPr="002B2C4F">
        <w:rPr>
          <w:rFonts w:cs="Arial"/>
          <w:color w:val="000000" w:themeColor="text1"/>
          <w:vertAlign w:val="superscript"/>
        </w:rPr>
        <w:t>1</w:t>
      </w:r>
      <w:r w:rsidR="00507E90">
        <w:rPr>
          <w:rFonts w:cs="Arial"/>
          <w:color w:val="000000" w:themeColor="text1"/>
        </w:rPr>
        <w:t xml:space="preserve">, </w:t>
      </w:r>
      <w:r w:rsidR="008221F3" w:rsidRPr="008221F3">
        <w:rPr>
          <w:rFonts w:cs="Arial"/>
          <w:color w:val="000000" w:themeColor="text1"/>
        </w:rPr>
        <w:t>Aisling Macaraeg</w:t>
      </w:r>
      <w:r w:rsidR="008221F3" w:rsidRPr="008221F3">
        <w:rPr>
          <w:rFonts w:cs="Arial"/>
          <w:color w:val="000000" w:themeColor="text1"/>
          <w:vertAlign w:val="superscript"/>
        </w:rPr>
        <w:t>1</w:t>
      </w:r>
      <w:r w:rsidR="008221F3" w:rsidRPr="008221F3">
        <w:rPr>
          <w:rFonts w:cs="Arial"/>
          <w:color w:val="000000" w:themeColor="text1"/>
        </w:rPr>
        <w:t>, Dan Floyd</w:t>
      </w:r>
      <w:r w:rsidR="008221F3" w:rsidRPr="008221F3">
        <w:rPr>
          <w:rFonts w:cs="Arial"/>
          <w:color w:val="000000" w:themeColor="text1"/>
          <w:vertAlign w:val="superscript"/>
        </w:rPr>
        <w:t>1</w:t>
      </w:r>
      <w:r w:rsidR="008221F3">
        <w:rPr>
          <w:rFonts w:cs="Arial"/>
          <w:color w:val="000000" w:themeColor="text1"/>
        </w:rPr>
        <w:t xml:space="preserve">, </w:t>
      </w:r>
      <w:r w:rsidR="008221F3" w:rsidRPr="002B2C4F">
        <w:rPr>
          <w:rFonts w:cs="Arial"/>
          <w:color w:val="000000" w:themeColor="text1"/>
        </w:rPr>
        <w:t>Hannah S. Trautmann</w:t>
      </w:r>
      <w:r w:rsidR="008221F3" w:rsidRPr="002B2C4F">
        <w:rPr>
          <w:rFonts w:cs="Arial"/>
          <w:color w:val="000000" w:themeColor="text1"/>
          <w:vertAlign w:val="superscript"/>
        </w:rPr>
        <w:t>1</w:t>
      </w:r>
      <w:r w:rsidR="008221F3">
        <w:rPr>
          <w:rFonts w:cs="Arial"/>
          <w:color w:val="000000" w:themeColor="text1"/>
        </w:rPr>
        <w:t>,</w:t>
      </w:r>
      <w:r w:rsidR="008221F3" w:rsidRPr="008221F3">
        <w:rPr>
          <w:rFonts w:cs="Arial"/>
          <w:color w:val="000000" w:themeColor="text1"/>
        </w:rPr>
        <w:t xml:space="preserve"> </w:t>
      </w:r>
      <w:r w:rsidRPr="002B2C4F">
        <w:rPr>
          <w:rFonts w:cs="Arial"/>
          <w:color w:val="000000" w:themeColor="text1"/>
        </w:rPr>
        <w:t>and Kathryn M. Ramsey</w:t>
      </w:r>
      <w:r w:rsidRPr="002B2C4F">
        <w:rPr>
          <w:rFonts w:cs="Arial"/>
          <w:color w:val="000000" w:themeColor="text1"/>
          <w:vertAlign w:val="superscript"/>
        </w:rPr>
        <w:t>1,2,*</w:t>
      </w:r>
    </w:p>
    <w:p w14:paraId="3B1D75DE" w14:textId="77777777" w:rsidR="0000083B" w:rsidRPr="00F92CB7" w:rsidRDefault="0000083B" w:rsidP="0000083B">
      <w:pPr>
        <w:suppressLineNumbers/>
        <w:spacing w:line="480" w:lineRule="auto"/>
        <w:jc w:val="center"/>
        <w:rPr>
          <w:color w:val="000000" w:themeColor="text1"/>
        </w:rPr>
      </w:pPr>
    </w:p>
    <w:p w14:paraId="743FAA93" w14:textId="77777777" w:rsidR="0000083B" w:rsidRDefault="0000083B" w:rsidP="0000083B">
      <w:pPr>
        <w:spacing w:line="480" w:lineRule="auto"/>
        <w:jc w:val="center"/>
      </w:pPr>
      <w:r>
        <w:rPr>
          <w:vertAlign w:val="superscript"/>
        </w:rPr>
        <w:t>1</w:t>
      </w:r>
      <w:r w:rsidRPr="00172BD0">
        <w:t>Department of Cell and Molecular Biology, University of Rhode Island, Kingston, R</w:t>
      </w:r>
      <w:r>
        <w:t>I 02881, USA</w:t>
      </w:r>
    </w:p>
    <w:p w14:paraId="3E6D4F99" w14:textId="3644F353" w:rsidR="002F7F7A" w:rsidRDefault="0000083B" w:rsidP="0000083B">
      <w:pPr>
        <w:spacing w:line="480" w:lineRule="auto"/>
        <w:ind w:firstLine="450"/>
        <w:jc w:val="center"/>
        <w:rPr>
          <w:szCs w:val="24"/>
        </w:rPr>
        <w:sectPr w:rsidR="002F7F7A">
          <w:headerReference w:type="default" r:id="rId7"/>
          <w:footerReference w:type="default" r:id="rId8"/>
          <w:pgSz w:w="12240" w:h="15840"/>
          <w:pgMar w:top="1440" w:right="1440" w:bottom="1440" w:left="2448" w:header="720" w:footer="720" w:gutter="0"/>
          <w:cols w:space="720"/>
          <w:formProt w:val="0"/>
          <w:docGrid w:linePitch="600" w:charSpace="32768"/>
        </w:sectPr>
      </w:pPr>
      <w:r w:rsidRPr="00A145F7">
        <w:rPr>
          <w:vertAlign w:val="superscript"/>
        </w:rPr>
        <w:t>2</w:t>
      </w:r>
      <w:r w:rsidRPr="00172BD0">
        <w:t xml:space="preserve">Department of </w:t>
      </w:r>
      <w:r>
        <w:t>Biomedical and Pharmaceutical Sciences</w:t>
      </w:r>
      <w:r w:rsidRPr="00172BD0">
        <w:t>, University of Rhode Island, Kingston, R</w:t>
      </w:r>
      <w:r>
        <w:t>I 02881</w:t>
      </w:r>
      <w:r w:rsidRPr="00172BD0">
        <w:t>, USA</w:t>
      </w:r>
    </w:p>
    <w:p w14:paraId="6FD1DC16" w14:textId="3E4DB416" w:rsidR="00507E90" w:rsidRPr="00507E90" w:rsidRDefault="00507E90" w:rsidP="00507E90">
      <w:pPr>
        <w:pStyle w:val="Heading3"/>
      </w:pPr>
      <w:bookmarkStart w:id="5" w:name="_Toc141519748"/>
      <w:r w:rsidRPr="00507E90">
        <w:lastRenderedPageBreak/>
        <w:t>Abstract</w:t>
      </w:r>
      <w:bookmarkEnd w:id="5"/>
    </w:p>
    <w:p w14:paraId="066B1541" w14:textId="77777777" w:rsidR="002F7F7A" w:rsidRDefault="00000000" w:rsidP="0000083B">
      <w:pPr>
        <w:spacing w:line="480" w:lineRule="auto"/>
        <w:ind w:firstLine="450"/>
      </w:pPr>
      <w:r>
        <w:rPr>
          <w:szCs w:val="24"/>
        </w:rPr>
        <w:t xml:space="preserve">Begin typing or pasting the rest of your chapter 3 text here. </w:t>
      </w:r>
      <w:r>
        <w:t>This template is best used for directly typing in your content. However, you can paste text into the document, but use caution as pasting can produce varying results</w:t>
      </w:r>
    </w:p>
    <w:p w14:paraId="6EC8D2FC" w14:textId="77777777" w:rsidR="00507E90" w:rsidRDefault="00507E90" w:rsidP="00507E90">
      <w:pPr>
        <w:spacing w:line="480" w:lineRule="auto"/>
        <w:rPr>
          <w:b/>
          <w:bCs/>
          <w:szCs w:val="24"/>
        </w:rPr>
      </w:pPr>
    </w:p>
    <w:p w14:paraId="551B1FF3" w14:textId="7A717CAC" w:rsidR="00507E90" w:rsidRPr="00507E90" w:rsidRDefault="00507E90" w:rsidP="00507E90">
      <w:pPr>
        <w:pStyle w:val="Heading3"/>
      </w:pPr>
      <w:bookmarkStart w:id="6" w:name="_Toc141519749"/>
      <w:r w:rsidRPr="00507E90">
        <w:t>Importance</w:t>
      </w:r>
      <w:bookmarkEnd w:id="6"/>
    </w:p>
    <w:p w14:paraId="53C7778F" w14:textId="77777777" w:rsidR="00507E90" w:rsidRDefault="00507E90" w:rsidP="00507E90">
      <w:pPr>
        <w:spacing w:line="480" w:lineRule="auto"/>
        <w:ind w:firstLine="450"/>
      </w:pPr>
      <w:r>
        <w:rPr>
          <w:szCs w:val="24"/>
        </w:rPr>
        <w:t xml:space="preserve">Begin typing or pasting the rest of your chapter 3 text here. </w:t>
      </w:r>
      <w:r>
        <w:t>This template is best used for directly typing in your content. However, you can paste text into the document, but use caution as pasting can produce varying results</w:t>
      </w:r>
    </w:p>
    <w:p w14:paraId="6B280C6C" w14:textId="77777777" w:rsidR="00507E90" w:rsidRDefault="00507E90" w:rsidP="00507E90">
      <w:pPr>
        <w:spacing w:line="480" w:lineRule="auto"/>
        <w:rPr>
          <w:b/>
          <w:bCs/>
          <w:szCs w:val="24"/>
        </w:rPr>
      </w:pPr>
    </w:p>
    <w:p w14:paraId="26427AEC" w14:textId="261E1568" w:rsidR="00507E90" w:rsidRPr="00507E90" w:rsidRDefault="00507E90" w:rsidP="00507E90">
      <w:pPr>
        <w:pStyle w:val="Heading3"/>
      </w:pPr>
      <w:bookmarkStart w:id="7" w:name="_Toc141519750"/>
      <w:r w:rsidRPr="00507E90">
        <w:t>Introduction</w:t>
      </w:r>
      <w:bookmarkEnd w:id="7"/>
    </w:p>
    <w:p w14:paraId="160B521A" w14:textId="36FD5942" w:rsidR="00494263" w:rsidRPr="00671685" w:rsidRDefault="00494263" w:rsidP="00494263">
      <w:pPr>
        <w:spacing w:line="480" w:lineRule="auto"/>
        <w:ind w:firstLine="450"/>
        <w:jc w:val="both"/>
      </w:pPr>
      <w:r>
        <w:t>Given the number of diverse niches which bacteria may occupy at various points, it follows that changing environmental factors differentially affects gene expression.</w:t>
      </w:r>
      <w:r w:rsidRPr="00671685">
        <w:t xml:space="preserve"> However, </w:t>
      </w:r>
      <w:r>
        <w:t>this broad mechanism</w:t>
      </w:r>
      <w:r w:rsidRPr="00671685">
        <w:t xml:space="preserve"> is </w:t>
      </w:r>
      <w:r>
        <w:t xml:space="preserve">of </w:t>
      </w:r>
      <w:r w:rsidRPr="00671685">
        <w:t>particular</w:t>
      </w:r>
      <w:r>
        <w:t xml:space="preserve"> note in the considerations for human health. Necessarily, pathogens will encounter new environments as they pass from environment or vector to their final host. It then follows that environments regulate gene expression of virulence factors. </w:t>
      </w:r>
      <w:r w:rsidRPr="00671685">
        <w:t xml:space="preserve"> </w:t>
      </w:r>
    </w:p>
    <w:p w14:paraId="3FA6A6BC" w14:textId="5EA4F82F" w:rsidR="00507E90" w:rsidRPr="00507E90" w:rsidRDefault="00507E90" w:rsidP="00507E90">
      <w:pPr>
        <w:pStyle w:val="Heading3"/>
      </w:pPr>
      <w:bookmarkStart w:id="8" w:name="_Toc141519751"/>
      <w:r>
        <w:t>Results</w:t>
      </w:r>
      <w:bookmarkEnd w:id="8"/>
    </w:p>
    <w:p w14:paraId="2D65A717" w14:textId="63E5E2A2" w:rsidR="006021FD" w:rsidRDefault="006021FD" w:rsidP="006021FD">
      <w:pPr>
        <w:spacing w:line="480" w:lineRule="auto"/>
        <w:rPr>
          <w:b/>
          <w:bCs/>
          <w:szCs w:val="24"/>
        </w:rPr>
      </w:pPr>
      <w:r>
        <w:rPr>
          <w:noProof/>
        </w:rPr>
        <w:lastRenderedPageBreak/>
        <w:drawing>
          <wp:inline distT="0" distB="0" distL="0" distR="0" wp14:anchorId="0B604BFC" wp14:editId="5B2B0577">
            <wp:extent cx="5303520" cy="3688080"/>
            <wp:effectExtent l="0" t="0" r="0" b="7620"/>
            <wp:docPr id="44186772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67724" name="Picture 1" descr="A screenshot of a graph&#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03520" cy="3688080"/>
                    </a:xfrm>
                    <a:prstGeom prst="rect">
                      <a:avLst/>
                    </a:prstGeom>
                    <a:noFill/>
                    <a:ln>
                      <a:noFill/>
                    </a:ln>
                  </pic:spPr>
                </pic:pic>
              </a:graphicData>
            </a:graphic>
          </wp:inline>
        </w:drawing>
      </w:r>
    </w:p>
    <w:p w14:paraId="2C77FD8E" w14:textId="17302770" w:rsidR="00F62113" w:rsidRDefault="008F6171" w:rsidP="008F6171">
      <w:pPr>
        <w:spacing w:line="480" w:lineRule="auto"/>
        <w:ind w:firstLine="450"/>
        <w:rPr>
          <w:szCs w:val="24"/>
        </w:rPr>
      </w:pPr>
      <w:r w:rsidRPr="00076CA9">
        <w:rPr>
          <w:b/>
          <w:bCs/>
          <w:szCs w:val="24"/>
        </w:rPr>
        <w:t>bS21-1, bS21-2, and bS21-3 lead to the regulation of the bS21-2 operon</w:t>
      </w:r>
      <w:r>
        <w:rPr>
          <w:szCs w:val="24"/>
        </w:rPr>
        <w:t xml:space="preserve">. For the purposes of an earlier paper published by the Kathryn Ramsey lab, abundance changes of the </w:t>
      </w:r>
      <w:r>
        <w:rPr>
          <w:i/>
          <w:iCs/>
          <w:szCs w:val="24"/>
        </w:rPr>
        <w:t xml:space="preserve">F. tularensis </w:t>
      </w:r>
      <w:r>
        <w:rPr>
          <w:szCs w:val="24"/>
        </w:rPr>
        <w:t xml:space="preserve">global transcriptome between wild-type LVS and cells lacking bS21-2 was analyzed through RNA sequencing </w:t>
      </w:r>
      <w:r>
        <w:rPr>
          <w:szCs w:val="24"/>
        </w:rPr>
        <w:fldChar w:fldCharType="begin"/>
      </w:r>
      <w:r>
        <w:rPr>
          <w:szCs w:val="24"/>
        </w:rPr>
        <w:instrText xml:space="preserve"> ADDIN ZOTERO_ITEM CSL_CITATION {"citationID":"kiAlqIcv","properties":{"formattedCitation":"(Trautmann &amp; Ramsey, 2022)","plainCitation":"(Trautmann &amp; Ramsey, 2022)","noteIndex":0},"citationItems":[{"id":92,"uris":["http://zotero.org/users/10474456/items/66KD3L7Q"],"itemData":{"id":92,"type":"article-journal","abstract":"The molecular machine necessary for protein synthesis, the ribosome, is generally considered constitutively functioning and lacking any inherent regulatory capacity. Yet ribosomes are commonly heterogeneous in composition and the impact of ribosome heterogeneity on translation is not well understood. Here, we determined that changes in ribosome protein composition govern gene expression in the intracellular bacterial pathogen Francisella tularensis. F. tularensis encodes three distinct homologs for bS21, a ribosomal protein involved in translation initiation, and analysis of purified F. tularensis ribosomes revealed they are heterogeneous with respect to bS21. The loss of one homolog, bS21-2, resulted in significant changes to the cellular proteome unlinked to changes in the transcriptome. Among the reduced proteins were components of the type VI secretion system (T6SS), an essential virulence factor encoded by the Francisella Pathogenicity Island. Furthermore, loss of bS21-2 led to an intramacrophage growth defect. Although multiple bS21 homologs complemented the loss of bS21-2 with respect to T6SS protein abundance, bS21-2 was uniquely necessary for robust intramacrophage growth, suggesting bS21-2 modulates additional virulence gene(s) distinct from the T6SS. Our results indicate that ribosome composition in F. tularensis, either directly or indirectly, posttranscriptionally modulates gene expression and virulence. Our findings are consistent with a model in which bS21 homologs function as posttranscriptional regulators, allowing preferential translation of specific subsets of mRNAs, likely at the stage of translation initiation. This work also raises the possibility that bS21 in other organisms may function similarly and that ribosome heterogeneity may permit many bacteria to posttranscriptionally regulate gene expression.","container-title":"Journal of Bacteriology","DOI":"https://doi.org/10.1128/jb.00268-22","issue":"10","language":"en","note":"DOI: 10.1128/jb.00268-22","page":"e00268-22","title":"A Ribosomal Protein Homolog Governs Gene Expression and Virulence in a Bacterial Pathogen","volume":"204","author":[{"family":"Trautmann","given":"Hannah"},{"family":"Ramsey","given":"Kathryn"}],"issued":{"date-parts":[["2022",9,19]]}}}],"schema":"https://github.com/citation-style-language/schema/raw/master/csl-citation.json"} </w:instrText>
      </w:r>
      <w:r>
        <w:rPr>
          <w:szCs w:val="24"/>
        </w:rPr>
        <w:fldChar w:fldCharType="separate"/>
      </w:r>
      <w:r w:rsidRPr="008F6171">
        <w:rPr>
          <w:rFonts w:cs="Arial"/>
        </w:rPr>
        <w:t>(Trautmann &amp; Ramsey, 2022)</w:t>
      </w:r>
      <w:r>
        <w:rPr>
          <w:szCs w:val="24"/>
        </w:rPr>
        <w:fldChar w:fldCharType="end"/>
      </w:r>
      <w:r>
        <w:rPr>
          <w:szCs w:val="24"/>
        </w:rPr>
        <w:t xml:space="preserve">. In addition to those findings, it was noted that in the absence of bS21-2, there was a substantial and significant increase in the transcript abundance of the rest of the macromolecular synthesis operon. Particularly, in wild-type cells containing bS21-2, there was some amount of transcript counted along the operon. This abundance of </w:t>
      </w:r>
      <w:proofErr w:type="gramStart"/>
      <w:r>
        <w:rPr>
          <w:szCs w:val="24"/>
        </w:rPr>
        <w:t>the transcript</w:t>
      </w:r>
      <w:proofErr w:type="gramEnd"/>
      <w:r>
        <w:rPr>
          <w:szCs w:val="24"/>
        </w:rPr>
        <w:t xml:space="preserve"> reads steadily decrease along the polycistronic message, reflecting a common artifact of transcription. However, when bS21-2 is removed from the chromosome of LVS, the transcript abundance of this operon increases </w:t>
      </w:r>
      <w:r>
        <w:rPr>
          <w:szCs w:val="24"/>
        </w:rPr>
        <w:lastRenderedPageBreak/>
        <w:t xml:space="preserve">substantially, as high as </w:t>
      </w:r>
      <w:commentRangeStart w:id="9"/>
      <w:r>
        <w:rPr>
          <w:szCs w:val="24"/>
        </w:rPr>
        <w:t>9-fold</w:t>
      </w:r>
      <w:commentRangeEnd w:id="9"/>
      <w:r>
        <w:rPr>
          <w:rStyle w:val="CommentReference"/>
        </w:rPr>
        <w:commentReference w:id="9"/>
      </w:r>
      <w:r>
        <w:rPr>
          <w:szCs w:val="24"/>
        </w:rPr>
        <w:t xml:space="preserve"> at the start of the transcript. This necessarily indicates that the presence of bS21-2 in the cell represses the production of its own operon, indicating some mechanism of autogenous regulation. Ectopic expression of any one of the bS21 homologs was found to complement this overexpression phenotype. Interestingly, ectopic expression of all homologs repressed MMS transcript abundance to below wild-type levels, most readily apparent by bS21-2 and bS21-3. </w:t>
      </w:r>
    </w:p>
    <w:p w14:paraId="7A73511D" w14:textId="5F9A92D8" w:rsidR="008F6171" w:rsidRPr="008F6171" w:rsidRDefault="008F6171" w:rsidP="008F6171">
      <w:pPr>
        <w:spacing w:line="480" w:lineRule="auto"/>
        <w:ind w:firstLine="450"/>
        <w:rPr>
          <w:szCs w:val="24"/>
        </w:rPr>
      </w:pPr>
      <w:r>
        <w:rPr>
          <w:szCs w:val="24"/>
        </w:rPr>
        <w:t xml:space="preserve">In addition to RNA-Seq, </w:t>
      </w:r>
      <w:proofErr w:type="spellStart"/>
      <w:r>
        <w:rPr>
          <w:szCs w:val="24"/>
        </w:rPr>
        <w:t>qRT</w:t>
      </w:r>
      <w:proofErr w:type="spellEnd"/>
      <w:r>
        <w:rPr>
          <w:szCs w:val="24"/>
        </w:rPr>
        <w:t xml:space="preserve">-PCR was used to analyze transcript abundance of both bS21-1 and bS21-3 in wild-type or cells lacking either bS21-1 or bS21-3, respectively. </w:t>
      </w:r>
      <w:r w:rsidR="008E4D33">
        <w:rPr>
          <w:szCs w:val="24"/>
        </w:rPr>
        <w:t>The results from this assay indicated that neither bS21-1 or bS21-3 abundances were stat</w:t>
      </w:r>
      <w:r w:rsidR="00156651">
        <w:rPr>
          <w:szCs w:val="24"/>
        </w:rPr>
        <w:t xml:space="preserve">istically nor biologically significant in cells lacking the respective proteins versus wild-type. This indicates that while bS21-2 is autogenously regulated, in addition to potential regulation by bS21-1 and bS21-3, bS21-1 and bS21-3 may have unique mechanisms of regulation. </w:t>
      </w:r>
    </w:p>
    <w:p w14:paraId="410523D0" w14:textId="3D2A3A5F" w:rsidR="00F62113" w:rsidRPr="00156651" w:rsidRDefault="008F6171" w:rsidP="00156651">
      <w:pPr>
        <w:spacing w:line="480" w:lineRule="auto"/>
        <w:ind w:firstLine="450"/>
        <w:rPr>
          <w:szCs w:val="24"/>
        </w:rPr>
      </w:pPr>
      <w:r w:rsidRPr="008F6171">
        <w:rPr>
          <w:b/>
          <w:bCs/>
          <w:szCs w:val="24"/>
        </w:rPr>
        <w:t>Cis-factor leads to the regulation of the bS21-2 operon by bS21-2.</w:t>
      </w:r>
      <w:r>
        <w:rPr>
          <w:szCs w:val="24"/>
        </w:rPr>
        <w:t xml:space="preserve"> </w:t>
      </w:r>
      <w:r w:rsidR="00156651">
        <w:rPr>
          <w:szCs w:val="24"/>
        </w:rPr>
        <w:t xml:space="preserve">In order to study the potential cis-factors leading to autoregulation observed by bS21-2, </w:t>
      </w:r>
      <w:r w:rsidR="00156651">
        <w:rPr>
          <w:i/>
          <w:iCs/>
          <w:szCs w:val="24"/>
        </w:rPr>
        <w:t xml:space="preserve">lacZ </w:t>
      </w:r>
      <w:r w:rsidR="00156651">
        <w:rPr>
          <w:szCs w:val="24"/>
        </w:rPr>
        <w:t>reporter constructs were created. These constructs included either the promoter or 5</w:t>
      </w:r>
      <w:r w:rsidR="00156651" w:rsidRPr="00156651">
        <w:rPr>
          <w:szCs w:val="24"/>
        </w:rPr>
        <w:t>′</w:t>
      </w:r>
      <w:r w:rsidR="00156651">
        <w:rPr>
          <w:szCs w:val="24"/>
        </w:rPr>
        <w:t xml:space="preserve"> UTR of either the control gene </w:t>
      </w:r>
      <w:r w:rsidR="00156651">
        <w:rPr>
          <w:i/>
          <w:iCs/>
          <w:szCs w:val="24"/>
        </w:rPr>
        <w:t>tul4</w:t>
      </w:r>
      <w:r w:rsidR="00156651">
        <w:rPr>
          <w:szCs w:val="24"/>
        </w:rPr>
        <w:t xml:space="preserve"> or </w:t>
      </w:r>
      <w:r w:rsidR="00156651">
        <w:rPr>
          <w:i/>
          <w:iCs/>
          <w:szCs w:val="24"/>
        </w:rPr>
        <w:t>rpsU2</w:t>
      </w:r>
      <w:r w:rsidR="00156651">
        <w:rPr>
          <w:szCs w:val="24"/>
        </w:rPr>
        <w:t xml:space="preserve"> fused to </w:t>
      </w:r>
      <w:r w:rsidR="00156651">
        <w:rPr>
          <w:i/>
          <w:iCs/>
          <w:szCs w:val="24"/>
        </w:rPr>
        <w:t>lacZ</w:t>
      </w:r>
      <w:r w:rsidR="00156651">
        <w:rPr>
          <w:szCs w:val="24"/>
        </w:rPr>
        <w:t xml:space="preserve"> in the Tn7 site of LVS, a non-native locus. Previous work by the Ramsey lab identified </w:t>
      </w:r>
      <w:r w:rsidR="00156651">
        <w:rPr>
          <w:i/>
          <w:iCs/>
          <w:szCs w:val="24"/>
        </w:rPr>
        <w:t xml:space="preserve">tul4 </w:t>
      </w:r>
      <w:r w:rsidR="00156651">
        <w:rPr>
          <w:szCs w:val="24"/>
        </w:rPr>
        <w:t xml:space="preserve">as a useful control gene due to its lack of response in either the abundance of transcript of protein to the removal of bS21-2 from the cell </w:t>
      </w:r>
      <w:r w:rsidR="00156651">
        <w:rPr>
          <w:szCs w:val="24"/>
        </w:rPr>
        <w:fldChar w:fldCharType="begin"/>
      </w:r>
      <w:r w:rsidR="00AB259A">
        <w:rPr>
          <w:szCs w:val="24"/>
        </w:rPr>
        <w:instrText xml:space="preserve"> ADDIN ZOTERO_ITEM CSL_CITATION {"citationID":"lxDgm1ez","properties":{"formattedCitation":"(Trautmann &amp; Ramsey, 2022)","plainCitation":"(Trautmann &amp; Ramsey, 2022)","noteIndex":0},"citationItems":[{"id":92,"uris":["http://zotero.org/users/10474456/items/66KD3L7Q"],"itemData":{"id":92,"type":"article-journal","abstract":"The molecular machine necessary for protein synthesis, the ribosome, is generally considered constitutively functioning and lacking any inherent regulatory capacity. Yet ribosomes are commonly heterogeneous in composition and the impact of ribosome heterogeneity on translation is not well understood. Here, we determined that changes in ribosome protein composition govern gene expression in the intracellular bacterial pathogen Francisella tularensis. F. tularensis encodes three distinct homologs for bS21, a ribosomal protein involved in translation initiation, and analysis of purified F. tularensis ribosomes revealed they are heterogeneous with respect to bS21. The loss of one homolog, bS21-2, resulted in significant changes to the cellular proteome unlinked to changes in the transcriptome. Among the reduced proteins were components of the type VI secretion system (T6SS), an essential virulence factor encoded by the Francisella Pathogenicity Island. Furthermore, loss of bS21-2 led to an intramacrophage growth defect. Although multiple bS21 homologs complemented the loss of bS21-2 with respect to T6SS protein abundance, bS21-2 was uniquely necessary for robust intramacrophage growth, suggesting bS21-2 modulates additional virulence gene(s) distinct from the T6SS. Our results indicate that ribosome composition in F. tularensis, either directly or indirectly, posttranscriptionally modulates gene expression and virulence. Our findings are consistent with a model in which bS21 homologs function as posttranscriptional regulators, allowing preferential translation of specific subsets of mRNAs, likely at the stage of translation initiation. This work also raises the possibility that bS21 in other organisms may function similarly and that ribosome heterogeneity may permit many bacteria to posttranscriptionally regulate gene expression.","container-title":"Journal of Bacteriology","DOI":"https://doi.org/10.1128/jb.00268-22","issue":"10","language":"en","note":"DOI: 10.1128/jb.00268-22","page":"e00268-22","title":"A Ribosomal Protein Homolog Governs Gene Expression and Virulence in a Bacterial Pathogen","volume":"204","author":[{"family":"Trautmann","given":"Hannah"},{"family":"Ramsey","given":"Kathryn"}],"issued":{"date-parts":[["2022",9,19]]}}}],"schema":"https://github.com/citation-style-language/schema/raw/master/csl-citation.json"} </w:instrText>
      </w:r>
      <w:r w:rsidR="00156651">
        <w:rPr>
          <w:szCs w:val="24"/>
        </w:rPr>
        <w:fldChar w:fldCharType="separate"/>
      </w:r>
      <w:r w:rsidR="00AB259A" w:rsidRPr="00AB259A">
        <w:rPr>
          <w:rFonts w:cs="Arial"/>
        </w:rPr>
        <w:t>(Trautmann &amp; Ramsey, 2022)</w:t>
      </w:r>
      <w:r w:rsidR="00156651">
        <w:rPr>
          <w:szCs w:val="24"/>
        </w:rPr>
        <w:fldChar w:fldCharType="end"/>
      </w:r>
      <w:r w:rsidR="00156651">
        <w:rPr>
          <w:szCs w:val="24"/>
        </w:rPr>
        <w:t>.</w:t>
      </w:r>
    </w:p>
    <w:p w14:paraId="331E54E5" w14:textId="48B67455" w:rsidR="00F62113" w:rsidRPr="00C13F3E" w:rsidRDefault="00156651" w:rsidP="00C13F3E">
      <w:pPr>
        <w:spacing w:line="480" w:lineRule="auto"/>
        <w:ind w:firstLine="450"/>
        <w:rPr>
          <w:szCs w:val="24"/>
        </w:rPr>
      </w:pPr>
      <w:r>
        <w:rPr>
          <w:szCs w:val="24"/>
        </w:rPr>
        <w:lastRenderedPageBreak/>
        <w:t xml:space="preserve">In order to first assess the transcript abundance of these strains, </w:t>
      </w:r>
      <w:proofErr w:type="spellStart"/>
      <w:r>
        <w:rPr>
          <w:szCs w:val="24"/>
        </w:rPr>
        <w:t>qRT</w:t>
      </w:r>
      <w:proofErr w:type="spellEnd"/>
      <w:r>
        <w:rPr>
          <w:szCs w:val="24"/>
        </w:rPr>
        <w:t xml:space="preserve">-PCR was used, amplifying </w:t>
      </w:r>
      <w:r w:rsidR="00AB259A">
        <w:rPr>
          <w:szCs w:val="24"/>
        </w:rPr>
        <w:t>within the</w:t>
      </w:r>
      <w:r>
        <w:rPr>
          <w:szCs w:val="24"/>
        </w:rPr>
        <w:t xml:space="preserve"> </w:t>
      </w:r>
      <w:r>
        <w:rPr>
          <w:i/>
          <w:iCs/>
          <w:szCs w:val="24"/>
        </w:rPr>
        <w:t xml:space="preserve">lacZ </w:t>
      </w:r>
      <w:r>
        <w:rPr>
          <w:szCs w:val="24"/>
        </w:rPr>
        <w:t xml:space="preserve">gene. </w:t>
      </w:r>
      <w:r w:rsidR="00AB259A">
        <w:rPr>
          <w:szCs w:val="24"/>
        </w:rPr>
        <w:t xml:space="preserve">The fusion was verified through both control constructions, containing homogenous promoter and leader sequences for either </w:t>
      </w:r>
      <w:r w:rsidR="00AB259A">
        <w:rPr>
          <w:i/>
          <w:iCs/>
          <w:szCs w:val="24"/>
        </w:rPr>
        <w:t xml:space="preserve">tul4 </w:t>
      </w:r>
      <w:r w:rsidR="00AB259A">
        <w:rPr>
          <w:szCs w:val="24"/>
        </w:rPr>
        <w:t xml:space="preserve">or </w:t>
      </w:r>
      <w:r w:rsidR="00AB259A">
        <w:rPr>
          <w:i/>
          <w:iCs/>
          <w:szCs w:val="24"/>
        </w:rPr>
        <w:t>rpsU2</w:t>
      </w:r>
      <w:r w:rsidR="00AB259A">
        <w:rPr>
          <w:szCs w:val="24"/>
        </w:rPr>
        <w:t xml:space="preserve">. In particular, </w:t>
      </w:r>
      <w:r w:rsidR="00AB259A">
        <w:rPr>
          <w:i/>
          <w:iCs/>
          <w:szCs w:val="24"/>
        </w:rPr>
        <w:t xml:space="preserve">lacZ </w:t>
      </w:r>
      <w:r w:rsidR="00AB259A">
        <w:rPr>
          <w:szCs w:val="24"/>
        </w:rPr>
        <w:t xml:space="preserve">transcript abundance as dictated by the regulatory elements of </w:t>
      </w:r>
      <w:r w:rsidR="00AB259A">
        <w:rPr>
          <w:i/>
          <w:iCs/>
          <w:szCs w:val="24"/>
        </w:rPr>
        <w:t xml:space="preserve">tul4 </w:t>
      </w:r>
      <w:r w:rsidR="00AB259A">
        <w:rPr>
          <w:szCs w:val="24"/>
        </w:rPr>
        <w:t xml:space="preserve">was not found to change between wild-type cells and cells lacking bS21-2. Further, the construct containing both elements from </w:t>
      </w:r>
      <w:r w:rsidR="00AB259A">
        <w:rPr>
          <w:i/>
          <w:iCs/>
          <w:szCs w:val="24"/>
        </w:rPr>
        <w:t xml:space="preserve">rpsU2 </w:t>
      </w:r>
      <w:r w:rsidR="00AB259A">
        <w:rPr>
          <w:szCs w:val="24"/>
        </w:rPr>
        <w:t xml:space="preserve">demonstrated a substantial increase in cells lacking bS21-2, of about 9-fold. In the construct containing the promoter of </w:t>
      </w:r>
      <w:r w:rsidR="00AB259A">
        <w:rPr>
          <w:i/>
          <w:iCs/>
          <w:szCs w:val="24"/>
        </w:rPr>
        <w:t xml:space="preserve">tul4 </w:t>
      </w:r>
      <w:r w:rsidR="00AB259A">
        <w:rPr>
          <w:szCs w:val="24"/>
        </w:rPr>
        <w:t xml:space="preserve">fused to the </w:t>
      </w:r>
      <w:r w:rsidR="00AB259A">
        <w:rPr>
          <w:i/>
          <w:iCs/>
          <w:szCs w:val="24"/>
        </w:rPr>
        <w:t xml:space="preserve">rpsU2 </w:t>
      </w:r>
      <w:r w:rsidR="00AB259A">
        <w:rPr>
          <w:szCs w:val="24"/>
        </w:rPr>
        <w:t>5</w:t>
      </w:r>
      <w:r w:rsidR="00AB259A" w:rsidRPr="00AB259A">
        <w:rPr>
          <w:szCs w:val="24"/>
        </w:rPr>
        <w:t>′</w:t>
      </w:r>
      <w:r w:rsidR="00AB259A">
        <w:rPr>
          <w:szCs w:val="24"/>
        </w:rPr>
        <w:t xml:space="preserve"> UTR, the lack of bS21-2 </w:t>
      </w:r>
    </w:p>
    <w:p w14:paraId="46FE56C4" w14:textId="76673522" w:rsidR="00F62113" w:rsidRPr="00C13F3E" w:rsidRDefault="00C13F3E" w:rsidP="00C13F3E">
      <w:pPr>
        <w:spacing w:line="480" w:lineRule="auto"/>
        <w:ind w:firstLine="450"/>
      </w:pPr>
      <w:r w:rsidRPr="00C13F3E">
        <w:rPr>
          <w:b/>
          <w:bCs/>
          <w:szCs w:val="24"/>
        </w:rPr>
        <w:t>bS21-2 effects stability of the bS21-2 operon.</w:t>
      </w:r>
      <w:r>
        <w:rPr>
          <w:szCs w:val="24"/>
        </w:rPr>
        <w:t xml:space="preserve"> </w:t>
      </w:r>
      <w:r w:rsidR="00F62113">
        <w:rPr>
          <w:szCs w:val="24"/>
        </w:rPr>
        <w:t xml:space="preserve">Begin typing or pasting the rest of your chapter 3 text here. </w:t>
      </w:r>
      <w:r w:rsidR="00F62113">
        <w:t>This template is best used for directly typing in your content. However, you can paste text into the document, but use caution as pasting can produce varying results</w:t>
      </w:r>
    </w:p>
    <w:p w14:paraId="21C4BF78" w14:textId="176B2D6D" w:rsidR="00F62113" w:rsidRDefault="00C13F3E" w:rsidP="00F62113">
      <w:pPr>
        <w:spacing w:line="480" w:lineRule="auto"/>
        <w:ind w:firstLine="450"/>
      </w:pPr>
      <w:r w:rsidRPr="00C13F3E">
        <w:rPr>
          <w:b/>
          <w:bCs/>
          <w:szCs w:val="24"/>
        </w:rPr>
        <w:t>bS21-2 leader sequence has two consecutive stem-loop structures that are not required for regulation by bS21-2.</w:t>
      </w:r>
      <w:r>
        <w:rPr>
          <w:szCs w:val="24"/>
        </w:rPr>
        <w:t xml:space="preserve"> Begin typing or pasting the rest of your chapter 3 text here. </w:t>
      </w:r>
      <w:r>
        <w:t>This template is best used for directly typing in your content. However, you can paste text into the document, but use caution as pasting can produce varying results</w:t>
      </w:r>
    </w:p>
    <w:p w14:paraId="310FB621" w14:textId="77777777" w:rsidR="00507E90" w:rsidRDefault="00507E90" w:rsidP="00507E90">
      <w:pPr>
        <w:spacing w:line="480" w:lineRule="auto"/>
      </w:pPr>
    </w:p>
    <w:p w14:paraId="42CADFF0" w14:textId="52FD2244" w:rsidR="00507E90" w:rsidRPr="00507E90" w:rsidRDefault="00507E90" w:rsidP="00507E90">
      <w:pPr>
        <w:pStyle w:val="Heading3"/>
      </w:pPr>
      <w:bookmarkStart w:id="10" w:name="_Toc141519752"/>
      <w:r>
        <w:t>Discussion</w:t>
      </w:r>
      <w:bookmarkEnd w:id="10"/>
    </w:p>
    <w:p w14:paraId="7BFDCCC1" w14:textId="158D0651" w:rsidR="00507E90" w:rsidRDefault="00507E90" w:rsidP="00507E90">
      <w:pPr>
        <w:spacing w:line="480" w:lineRule="auto"/>
        <w:ind w:firstLine="450"/>
      </w:pPr>
      <w:r>
        <w:rPr>
          <w:szCs w:val="24"/>
        </w:rPr>
        <w:t xml:space="preserve">Begin typing or pasting the rest of your chapter 3 text here. </w:t>
      </w:r>
      <w:r>
        <w:t xml:space="preserve">This template is best used for directly typing in your content. However, you can paste text into the document, but use caution as pasting can produce varying results </w:t>
      </w:r>
    </w:p>
    <w:p w14:paraId="5E381F0D" w14:textId="77777777" w:rsidR="00507E90" w:rsidRDefault="00507E90">
      <w:r>
        <w:lastRenderedPageBreak/>
        <w:br w:type="page"/>
      </w:r>
    </w:p>
    <w:p w14:paraId="1D71105A" w14:textId="77777777" w:rsidR="00507E90" w:rsidRPr="00507E90" w:rsidRDefault="00507E90" w:rsidP="00507E90">
      <w:pPr>
        <w:spacing w:line="480" w:lineRule="auto"/>
        <w:ind w:firstLine="450"/>
        <w:sectPr w:rsidR="00507E90" w:rsidRPr="00507E90">
          <w:headerReference w:type="default" r:id="rId14"/>
          <w:footerReference w:type="default" r:id="rId15"/>
          <w:pgSz w:w="12240" w:h="15840"/>
          <w:pgMar w:top="1440" w:right="1440" w:bottom="1440" w:left="2448" w:header="720" w:footer="720" w:gutter="0"/>
          <w:cols w:space="720"/>
          <w:formProt w:val="0"/>
          <w:docGrid w:linePitch="600" w:charSpace="32768"/>
        </w:sectPr>
      </w:pPr>
    </w:p>
    <w:p w14:paraId="2A0C1675" w14:textId="644A8E32" w:rsidR="00507E90" w:rsidRPr="00507E90" w:rsidRDefault="00507E90" w:rsidP="00507E90">
      <w:pPr>
        <w:pStyle w:val="Heading3"/>
      </w:pPr>
      <w:bookmarkStart w:id="11" w:name="_Toc141519753"/>
      <w:r>
        <w:lastRenderedPageBreak/>
        <w:t>Materials and Methods</w:t>
      </w:r>
      <w:bookmarkEnd w:id="11"/>
    </w:p>
    <w:p w14:paraId="25F92FCD" w14:textId="21F86F2D" w:rsidR="00511AFF" w:rsidRPr="00511AFF" w:rsidRDefault="00511AFF" w:rsidP="00511AFF">
      <w:pPr>
        <w:spacing w:line="480" w:lineRule="auto"/>
        <w:rPr>
          <w:i/>
          <w:iCs/>
          <w:szCs w:val="24"/>
        </w:rPr>
      </w:pPr>
      <w:r w:rsidRPr="00511AFF">
        <w:rPr>
          <w:i/>
          <w:iCs/>
          <w:szCs w:val="24"/>
        </w:rPr>
        <w:t>Bacterial Strains and Growth Conditions</w:t>
      </w:r>
    </w:p>
    <w:p w14:paraId="34424F33" w14:textId="02D506F8" w:rsidR="00511AFF" w:rsidRDefault="00494263" w:rsidP="00511AFF">
      <w:pPr>
        <w:spacing w:line="480" w:lineRule="auto"/>
        <w:ind w:firstLine="450"/>
        <w:rPr>
          <w:szCs w:val="24"/>
        </w:rPr>
      </w:pPr>
      <w:r>
        <w:rPr>
          <w:szCs w:val="24"/>
        </w:rPr>
        <w:t xml:space="preserve">Under standard or control growth, strains were grown as follows. </w:t>
      </w:r>
      <w:r>
        <w:rPr>
          <w:i/>
          <w:iCs/>
          <w:szCs w:val="24"/>
        </w:rPr>
        <w:t xml:space="preserve">F. tularensis </w:t>
      </w:r>
      <w:r>
        <w:rPr>
          <w:szCs w:val="24"/>
        </w:rPr>
        <w:t xml:space="preserve">subsp. </w:t>
      </w:r>
      <w:r>
        <w:rPr>
          <w:i/>
          <w:iCs/>
          <w:szCs w:val="24"/>
        </w:rPr>
        <w:t xml:space="preserve">holarctica </w:t>
      </w:r>
      <w:r>
        <w:rPr>
          <w:szCs w:val="24"/>
        </w:rPr>
        <w:t>LVS was</w:t>
      </w:r>
      <w:r w:rsidR="00511AFF" w:rsidRPr="00511AFF">
        <w:rPr>
          <w:szCs w:val="24"/>
        </w:rPr>
        <w:t xml:space="preserve"> grown in Mueller Hinton Broth (MHB), supplemented with  0.025% iron pyrophosphate, 0.1% glucose, and 2% </w:t>
      </w:r>
      <w:proofErr w:type="spellStart"/>
      <w:r w:rsidR="00511AFF" w:rsidRPr="00511AFF">
        <w:rPr>
          <w:szCs w:val="24"/>
        </w:rPr>
        <w:t>Isovitalex</w:t>
      </w:r>
      <w:proofErr w:type="spellEnd"/>
      <w:r w:rsidR="00511AFF" w:rsidRPr="00511AFF">
        <w:rPr>
          <w:szCs w:val="24"/>
        </w:rPr>
        <w:t xml:space="preserve"> at 37°C, for standard growth conditions in liquid media. </w:t>
      </w:r>
      <w:r>
        <w:rPr>
          <w:szCs w:val="24"/>
        </w:rPr>
        <w:t xml:space="preserve">Otherwise, it was grown in Chamberlain’s Defined Media, CDM </w:t>
      </w:r>
      <w:r>
        <w:rPr>
          <w:szCs w:val="24"/>
        </w:rPr>
        <w:fldChar w:fldCharType="begin"/>
      </w:r>
      <w:r>
        <w:rPr>
          <w:szCs w:val="24"/>
        </w:rPr>
        <w:instrText xml:space="preserve"> ADDIN ZOTERO_ITEM CSL_CITATION {"citationID":"USH64xM5","properties":{"formattedCitation":"(Chamberlain, 1965)","plainCitation":"(Chamberlain, 1965)","noteIndex":0},"citationItems":[{"id":457,"uris":["http://zotero.org/users/10474456/items/I9TF4KQ3"],"itemData":{"id":457,"type":"article-journal","abstract":"A chemically defined medium was prepared which adequately supported growth of a vaccine strain of Pasteurella tularensis. This medium differed from those previously described in: (i) concentration of components, (ii) a requirement for calcium pantothenate to obtain increased growth, and (iii) a low initial pH. Varying the concentration of individual components up to 10 times the standard amount did not increase the viable population or affect dissociation. The vaccine strain grown in this chemically defined medium, although lower in viable population, appears to retain its identity and to be equal in potency to that prepared by the conventional method. This preliminary study indicates the potential utility of this medium as a basis for controlled studies of a live bacterial vaccine in terms of growth characteristics, dissociation, virulence, and immunogenicity.","container-title":"Applied Microbiology","DOI":"10.1128/am.13.2.232-235.1965","issue":"2","note":"publisher: American Society for Microbiology","page":"232-235","source":"journals.asm.org (Atypon)","title":"Evaluation of Live Tularemia Vaccine Prepared in a Chemically Defined Medium","volume":"13","author":[{"family":"Chamberlain","given":"Robert E."}],"issued":{"date-parts":[["1965",3]]}}}],"schema":"https://github.com/citation-style-language/schema/raw/master/csl-citation.json"} </w:instrText>
      </w:r>
      <w:r>
        <w:rPr>
          <w:szCs w:val="24"/>
        </w:rPr>
        <w:fldChar w:fldCharType="separate"/>
      </w:r>
      <w:r w:rsidRPr="00494263">
        <w:rPr>
          <w:rFonts w:cs="Arial"/>
        </w:rPr>
        <w:t>(Chamberlain, 1965)</w:t>
      </w:r>
      <w:r>
        <w:rPr>
          <w:szCs w:val="24"/>
        </w:rPr>
        <w:fldChar w:fldCharType="end"/>
      </w:r>
      <w:r>
        <w:rPr>
          <w:szCs w:val="24"/>
        </w:rPr>
        <w:t xml:space="preserve">. </w:t>
      </w:r>
      <w:r w:rsidR="00511AFF" w:rsidRPr="00511AFF">
        <w:rPr>
          <w:szCs w:val="24"/>
        </w:rPr>
        <w:t xml:space="preserve">For solid media growth, LVS </w:t>
      </w:r>
      <w:r>
        <w:rPr>
          <w:szCs w:val="24"/>
        </w:rPr>
        <w:t>was</w:t>
      </w:r>
      <w:r w:rsidR="00511AFF" w:rsidRPr="00511AFF">
        <w:rPr>
          <w:szCs w:val="24"/>
        </w:rPr>
        <w:t xml:space="preserve"> grown on cysteine heart agar plates containing 1% hemoglobin (CHAH) at 37°C. </w:t>
      </w:r>
      <w:r w:rsidR="004D6189" w:rsidRPr="004D6189">
        <w:rPr>
          <w:i/>
          <w:iCs/>
          <w:szCs w:val="24"/>
        </w:rPr>
        <w:t>E. coli</w:t>
      </w:r>
      <w:r w:rsidR="004D6189" w:rsidRPr="004D6189">
        <w:rPr>
          <w:szCs w:val="24"/>
        </w:rPr>
        <w:t xml:space="preserve">, either XL1-Blue or PIR1 cells, </w:t>
      </w:r>
      <w:r w:rsidR="004D6189">
        <w:rPr>
          <w:szCs w:val="24"/>
        </w:rPr>
        <w:t>was</w:t>
      </w:r>
      <w:r w:rsidR="004D6189" w:rsidRPr="004D6189">
        <w:rPr>
          <w:szCs w:val="24"/>
        </w:rPr>
        <w:t xml:space="preserve"> grown in LB media or on LB plates. </w:t>
      </w:r>
      <w:r w:rsidR="004D6189" w:rsidRPr="004D6189">
        <w:rPr>
          <w:i/>
          <w:iCs/>
          <w:szCs w:val="24"/>
        </w:rPr>
        <w:t>Saccharomyces cerevisiae</w:t>
      </w:r>
      <w:r w:rsidR="004D6189" w:rsidRPr="004D6189">
        <w:rPr>
          <w:szCs w:val="24"/>
        </w:rPr>
        <w:t xml:space="preserve"> [psi-] </w:t>
      </w:r>
      <w:r w:rsidR="004D6189">
        <w:rPr>
          <w:szCs w:val="24"/>
        </w:rPr>
        <w:t>was</w:t>
      </w:r>
      <w:r w:rsidR="004D6189" w:rsidRPr="004D6189">
        <w:rPr>
          <w:szCs w:val="24"/>
        </w:rPr>
        <w:t xml:space="preserve"> grown in </w:t>
      </w:r>
      <w:proofErr w:type="gramStart"/>
      <w:r w:rsidR="004D6189" w:rsidRPr="004D6189">
        <w:rPr>
          <w:szCs w:val="24"/>
        </w:rPr>
        <w:t>or on</w:t>
      </w:r>
      <w:proofErr w:type="gramEnd"/>
      <w:r w:rsidR="004D6189" w:rsidRPr="004D6189">
        <w:rPr>
          <w:szCs w:val="24"/>
        </w:rPr>
        <w:t xml:space="preserve"> YEPD media or in/on Synthetic Defined (SD) growth media without uracil</w:t>
      </w:r>
      <w:r w:rsidR="004D6189">
        <w:rPr>
          <w:szCs w:val="24"/>
        </w:rPr>
        <w:t xml:space="preserve"> for selection</w:t>
      </w:r>
      <w:r w:rsidR="004D6189" w:rsidRPr="004D6189">
        <w:rPr>
          <w:szCs w:val="24"/>
        </w:rPr>
        <w:t>. The selective antibiotics kanamycin (</w:t>
      </w:r>
      <w:proofErr w:type="spellStart"/>
      <w:r w:rsidR="004D6189" w:rsidRPr="004D6189">
        <w:rPr>
          <w:szCs w:val="24"/>
        </w:rPr>
        <w:t>kan</w:t>
      </w:r>
      <w:proofErr w:type="spellEnd"/>
      <w:r w:rsidR="004D6189" w:rsidRPr="004D6189">
        <w:rPr>
          <w:szCs w:val="24"/>
        </w:rPr>
        <w:t>) or nourseothricin (</w:t>
      </w:r>
      <w:proofErr w:type="spellStart"/>
      <w:r w:rsidR="004D6189" w:rsidRPr="004D6189">
        <w:rPr>
          <w:szCs w:val="24"/>
        </w:rPr>
        <w:t>nat</w:t>
      </w:r>
      <w:proofErr w:type="spellEnd"/>
      <w:r w:rsidR="004D6189" w:rsidRPr="004D6189">
        <w:rPr>
          <w:szCs w:val="24"/>
        </w:rPr>
        <w:t xml:space="preserve">) </w:t>
      </w:r>
      <w:r w:rsidR="004D6189">
        <w:rPr>
          <w:szCs w:val="24"/>
        </w:rPr>
        <w:t>was</w:t>
      </w:r>
      <w:r w:rsidR="004D6189" w:rsidRPr="004D6189">
        <w:rPr>
          <w:szCs w:val="24"/>
        </w:rPr>
        <w:t xml:space="preserve"> used to maintain plasmids in </w:t>
      </w:r>
      <w:r w:rsidR="004D6189" w:rsidRPr="004D6189">
        <w:rPr>
          <w:i/>
          <w:iCs/>
          <w:szCs w:val="24"/>
        </w:rPr>
        <w:t>F. tularensis</w:t>
      </w:r>
      <w:r w:rsidR="004D6189" w:rsidRPr="004D6189">
        <w:rPr>
          <w:szCs w:val="24"/>
        </w:rPr>
        <w:t xml:space="preserve"> LVS at 5 µg/mL or in </w:t>
      </w:r>
      <w:r w:rsidR="004D6189" w:rsidRPr="004D6189">
        <w:rPr>
          <w:i/>
          <w:iCs/>
          <w:szCs w:val="24"/>
        </w:rPr>
        <w:t xml:space="preserve">E. coli </w:t>
      </w:r>
      <w:r w:rsidR="004D6189" w:rsidRPr="004D6189">
        <w:rPr>
          <w:szCs w:val="24"/>
        </w:rPr>
        <w:t>at 50 µg/</w:t>
      </w:r>
      <w:proofErr w:type="spellStart"/>
      <w:r w:rsidR="004D6189" w:rsidRPr="004D6189">
        <w:rPr>
          <w:szCs w:val="24"/>
        </w:rPr>
        <w:t>mL.</w:t>
      </w:r>
      <w:proofErr w:type="spellEnd"/>
    </w:p>
    <w:p w14:paraId="5BF72F20" w14:textId="78452916" w:rsidR="004D6189" w:rsidRDefault="004D6189" w:rsidP="00494263">
      <w:pPr>
        <w:spacing w:line="480" w:lineRule="auto"/>
        <w:rPr>
          <w:i/>
          <w:iCs/>
          <w:szCs w:val="24"/>
        </w:rPr>
      </w:pPr>
      <w:r>
        <w:rPr>
          <w:i/>
          <w:iCs/>
          <w:szCs w:val="24"/>
        </w:rPr>
        <w:t>Plasmid Design and Construction</w:t>
      </w:r>
    </w:p>
    <w:p w14:paraId="02164E9F" w14:textId="2C52E38C" w:rsidR="004D6189" w:rsidRDefault="004D6189" w:rsidP="00D82218">
      <w:pPr>
        <w:spacing w:line="480" w:lineRule="auto"/>
        <w:ind w:firstLine="450"/>
        <w:rPr>
          <w:szCs w:val="24"/>
        </w:rPr>
      </w:pPr>
      <w:r w:rsidRPr="004D6189">
        <w:rPr>
          <w:szCs w:val="24"/>
        </w:rPr>
        <w:t xml:space="preserve">Plasmids </w:t>
      </w:r>
      <w:r>
        <w:rPr>
          <w:szCs w:val="24"/>
        </w:rPr>
        <w:t>were</w:t>
      </w:r>
      <w:r w:rsidRPr="004D6189">
        <w:rPr>
          <w:szCs w:val="24"/>
        </w:rPr>
        <w:t xml:space="preserve"> first designed using </w:t>
      </w:r>
      <w:proofErr w:type="spellStart"/>
      <w:r w:rsidRPr="004D6189">
        <w:rPr>
          <w:szCs w:val="24"/>
        </w:rPr>
        <w:t>SnapGene</w:t>
      </w:r>
      <w:proofErr w:type="spellEnd"/>
      <w:r w:rsidRPr="004D6189">
        <w:rPr>
          <w:szCs w:val="24"/>
        </w:rPr>
        <w:t xml:space="preserve"> application (GSL Biotech LLC). Necessary gene components </w:t>
      </w:r>
      <w:r>
        <w:rPr>
          <w:szCs w:val="24"/>
        </w:rPr>
        <w:t>were</w:t>
      </w:r>
      <w:r w:rsidRPr="004D6189">
        <w:rPr>
          <w:szCs w:val="24"/>
        </w:rPr>
        <w:t xml:space="preserve"> amplified via PCR, then purified with the </w:t>
      </w:r>
      <w:proofErr w:type="spellStart"/>
      <w:r w:rsidRPr="004D6189">
        <w:rPr>
          <w:szCs w:val="24"/>
        </w:rPr>
        <w:t>QIAquick</w:t>
      </w:r>
      <w:proofErr w:type="spellEnd"/>
      <w:r w:rsidRPr="004D6189">
        <w:rPr>
          <w:szCs w:val="24"/>
        </w:rPr>
        <w:t xml:space="preserve"> Purification Kit. PCR products and pF or PYES2 backbones </w:t>
      </w:r>
      <w:r>
        <w:rPr>
          <w:szCs w:val="24"/>
        </w:rPr>
        <w:t>were</w:t>
      </w:r>
      <w:r w:rsidRPr="004D6189">
        <w:rPr>
          <w:szCs w:val="24"/>
        </w:rPr>
        <w:t xml:space="preserve"> then digested using restriction enzymes, run on a gel, and extracted using the </w:t>
      </w:r>
      <w:proofErr w:type="spellStart"/>
      <w:r w:rsidRPr="004D6189">
        <w:rPr>
          <w:szCs w:val="24"/>
        </w:rPr>
        <w:t>QIAquick</w:t>
      </w:r>
      <w:proofErr w:type="spellEnd"/>
      <w:r w:rsidRPr="004D6189">
        <w:rPr>
          <w:szCs w:val="24"/>
        </w:rPr>
        <w:t xml:space="preserve"> Gel Extraction Kit. Gel-purified fragments </w:t>
      </w:r>
      <w:r>
        <w:rPr>
          <w:szCs w:val="24"/>
        </w:rPr>
        <w:t>were</w:t>
      </w:r>
      <w:r w:rsidRPr="004D6189">
        <w:rPr>
          <w:szCs w:val="24"/>
        </w:rPr>
        <w:t xml:space="preserve"> then ligated and used to transform either </w:t>
      </w:r>
      <w:r w:rsidRPr="004D6189">
        <w:rPr>
          <w:i/>
          <w:iCs/>
          <w:szCs w:val="24"/>
        </w:rPr>
        <w:t>E. coli</w:t>
      </w:r>
      <w:r w:rsidRPr="004D6189">
        <w:rPr>
          <w:szCs w:val="24"/>
        </w:rPr>
        <w:t xml:space="preserve"> or </w:t>
      </w:r>
      <w:r w:rsidRPr="004D6189">
        <w:rPr>
          <w:i/>
          <w:iCs/>
          <w:szCs w:val="24"/>
        </w:rPr>
        <w:t>S. cerevisiae</w:t>
      </w:r>
      <w:r w:rsidRPr="004D6189">
        <w:rPr>
          <w:szCs w:val="24"/>
        </w:rPr>
        <w:t xml:space="preserve"> via heat shock or electroporation, respectively. Colonies that gr</w:t>
      </w:r>
      <w:r>
        <w:rPr>
          <w:szCs w:val="24"/>
        </w:rPr>
        <w:t>e</w:t>
      </w:r>
      <w:r w:rsidRPr="004D6189">
        <w:rPr>
          <w:szCs w:val="24"/>
        </w:rPr>
        <w:t xml:space="preserve">w on the appropriate selective media </w:t>
      </w:r>
      <w:r>
        <w:rPr>
          <w:szCs w:val="24"/>
        </w:rPr>
        <w:t>were</w:t>
      </w:r>
      <w:r w:rsidRPr="004D6189">
        <w:rPr>
          <w:szCs w:val="24"/>
        </w:rPr>
        <w:t xml:space="preserve"> isolated with the </w:t>
      </w:r>
      <w:proofErr w:type="spellStart"/>
      <w:r w:rsidRPr="004D6189">
        <w:rPr>
          <w:szCs w:val="24"/>
        </w:rPr>
        <w:t>QIAprep</w:t>
      </w:r>
      <w:proofErr w:type="spellEnd"/>
      <w:r w:rsidRPr="004D6189">
        <w:rPr>
          <w:szCs w:val="24"/>
        </w:rPr>
        <w:t xml:space="preserve"> Spin Miniprep Kit or </w:t>
      </w:r>
      <w:proofErr w:type="spellStart"/>
      <w:r w:rsidRPr="004D6189">
        <w:rPr>
          <w:szCs w:val="24"/>
        </w:rPr>
        <w:t>Zymoprep</w:t>
      </w:r>
      <w:proofErr w:type="spellEnd"/>
      <w:r w:rsidRPr="004D6189">
        <w:rPr>
          <w:szCs w:val="24"/>
        </w:rPr>
        <w:t xml:space="preserve"> Yeast Plasmid </w:t>
      </w:r>
      <w:r w:rsidRPr="004D6189">
        <w:rPr>
          <w:szCs w:val="24"/>
        </w:rPr>
        <w:lastRenderedPageBreak/>
        <w:t>Miniprep II kit and confirmed via Sanger sequencing through the INBRE Core Facility.</w:t>
      </w:r>
    </w:p>
    <w:p w14:paraId="318992CF" w14:textId="4C555F5B" w:rsidR="004D6189" w:rsidRPr="004D6189" w:rsidRDefault="004D6189" w:rsidP="004D6189">
      <w:pPr>
        <w:spacing w:line="480" w:lineRule="auto"/>
        <w:rPr>
          <w:i/>
          <w:iCs/>
          <w:szCs w:val="24"/>
        </w:rPr>
      </w:pPr>
      <w:r w:rsidRPr="004D6189">
        <w:rPr>
          <w:i/>
          <w:iCs/>
          <w:szCs w:val="24"/>
        </w:rPr>
        <w:t>Integration of Reporter Constructs into the Tn7 Site of F. tularensis</w:t>
      </w:r>
    </w:p>
    <w:p w14:paraId="07AD2E75" w14:textId="1DEC5FA3" w:rsidR="004D6189" w:rsidRDefault="004D6189" w:rsidP="00D82218">
      <w:pPr>
        <w:spacing w:line="480" w:lineRule="auto"/>
        <w:ind w:firstLine="450"/>
        <w:rPr>
          <w:szCs w:val="24"/>
        </w:rPr>
      </w:pPr>
      <w:r w:rsidRPr="004D6189">
        <w:rPr>
          <w:szCs w:val="24"/>
        </w:rPr>
        <w:t xml:space="preserve">Reporter constructs </w:t>
      </w:r>
      <w:r w:rsidR="009C5148">
        <w:rPr>
          <w:szCs w:val="24"/>
        </w:rPr>
        <w:t>were</w:t>
      </w:r>
      <w:r w:rsidRPr="004D6189">
        <w:rPr>
          <w:szCs w:val="24"/>
        </w:rPr>
        <w:t xml:space="preserve"> integrated into the Tn7 site of </w:t>
      </w:r>
      <w:r w:rsidRPr="009C5148">
        <w:rPr>
          <w:i/>
          <w:iCs/>
          <w:szCs w:val="24"/>
        </w:rPr>
        <w:t>F. tularensis</w:t>
      </w:r>
      <w:r w:rsidRPr="004D6189">
        <w:rPr>
          <w:szCs w:val="24"/>
        </w:rPr>
        <w:t xml:space="preserve"> LVS essentially as in (LoVullo et al., 2009). Briefly, electrocompetent LVS cells are prepared via multiple sucrose washes prior to electroporation. A Tn7 helper plasmid (pKR54) is electroporated into desired target cells, in order to help with the integration of the Tn7 sequence from the plasmid into the Tn7 site on the chromosome. Colonies are recovered from the electroporation and made into electrocompetent cells and electroporated with the designed Tn7 plasmid. The helper plasmid is cured from the strain by repeated passage and integration is confirmed via colony PCR using </w:t>
      </w:r>
      <w:proofErr w:type="spellStart"/>
      <w:r w:rsidRPr="004D6189">
        <w:rPr>
          <w:szCs w:val="24"/>
        </w:rPr>
        <w:t>PrimeStar</w:t>
      </w:r>
      <w:proofErr w:type="spellEnd"/>
      <w:r w:rsidRPr="004D6189">
        <w:rPr>
          <w:szCs w:val="24"/>
        </w:rPr>
        <w:t xml:space="preserve"> GXL polymerase. When the helper plasmid is confirmed to have been cured through cross-patching on alternative antibiotics, electrocompetent cells are made and electroporated with the Tn7 resolvase plasmid (pKR56) to excise the remaining antibiotic resistance. The resulting colonies are recovered and cured of the Tn7 resolvase plasmid.</w:t>
      </w:r>
    </w:p>
    <w:p w14:paraId="5E33B808" w14:textId="32F5969B" w:rsidR="004D6189" w:rsidRPr="004D6189" w:rsidRDefault="004D6189" w:rsidP="004D6189">
      <w:pPr>
        <w:spacing w:line="480" w:lineRule="auto"/>
        <w:rPr>
          <w:i/>
          <w:iCs/>
          <w:szCs w:val="24"/>
        </w:rPr>
      </w:pPr>
      <w:r>
        <w:rPr>
          <w:i/>
          <w:iCs/>
          <w:szCs w:val="24"/>
        </w:rPr>
        <w:t>Strains</w:t>
      </w:r>
    </w:p>
    <w:p w14:paraId="1D89ECA0" w14:textId="1345BDF1" w:rsidR="00494263" w:rsidRPr="00D82218" w:rsidRDefault="004D6189" w:rsidP="00D82218">
      <w:pPr>
        <w:spacing w:line="480" w:lineRule="auto"/>
        <w:ind w:firstLine="450"/>
        <w:rPr>
          <w:szCs w:val="24"/>
        </w:rPr>
      </w:pPr>
      <w:r>
        <w:rPr>
          <w:szCs w:val="24"/>
        </w:rPr>
        <w:t xml:space="preserve">Four </w:t>
      </w:r>
      <w:r w:rsidR="00494263">
        <w:rPr>
          <w:szCs w:val="24"/>
        </w:rPr>
        <w:t xml:space="preserve">strains of </w:t>
      </w:r>
      <w:r w:rsidR="00494263">
        <w:rPr>
          <w:i/>
          <w:iCs/>
          <w:szCs w:val="24"/>
        </w:rPr>
        <w:t xml:space="preserve">F. tularensis </w:t>
      </w:r>
      <w:r w:rsidR="00494263">
        <w:rPr>
          <w:szCs w:val="24"/>
        </w:rPr>
        <w:t xml:space="preserve">subsp. </w:t>
      </w:r>
      <w:r w:rsidR="00494263">
        <w:rPr>
          <w:i/>
          <w:iCs/>
          <w:szCs w:val="24"/>
        </w:rPr>
        <w:t xml:space="preserve">holarctica </w:t>
      </w:r>
      <w:r w:rsidR="00494263">
        <w:rPr>
          <w:szCs w:val="24"/>
        </w:rPr>
        <w:t xml:space="preserve">LVS were used for the screening of </w:t>
      </w:r>
      <w:r w:rsidR="00494263">
        <w:rPr>
          <w:i/>
          <w:iCs/>
          <w:szCs w:val="24"/>
        </w:rPr>
        <w:t xml:space="preserve">rpsU1 </w:t>
      </w:r>
      <w:r w:rsidR="00494263">
        <w:rPr>
          <w:szCs w:val="24"/>
        </w:rPr>
        <w:t xml:space="preserve">and </w:t>
      </w:r>
      <w:r w:rsidR="00494263">
        <w:rPr>
          <w:i/>
          <w:iCs/>
          <w:szCs w:val="24"/>
        </w:rPr>
        <w:t xml:space="preserve">rpsU3 </w:t>
      </w:r>
      <w:r w:rsidR="00494263">
        <w:rPr>
          <w:szCs w:val="24"/>
        </w:rPr>
        <w:t xml:space="preserve">environmental conditions. </w:t>
      </w:r>
      <w:r w:rsidR="00970E8A">
        <w:rPr>
          <w:szCs w:val="24"/>
        </w:rPr>
        <w:t xml:space="preserve">For use in the GFP assays, </w:t>
      </w:r>
      <w:r w:rsidR="00D82218">
        <w:rPr>
          <w:szCs w:val="24"/>
        </w:rPr>
        <w:t>strains KRLVS192 and KRLVS193 were used</w:t>
      </w:r>
      <w:r w:rsidR="00970E8A">
        <w:rPr>
          <w:szCs w:val="24"/>
        </w:rPr>
        <w:t>.</w:t>
      </w:r>
      <w:r w:rsidR="00D82218">
        <w:rPr>
          <w:szCs w:val="24"/>
        </w:rPr>
        <w:t xml:space="preserve"> The genotypes of these strains were </w:t>
      </w:r>
      <w:r w:rsidR="00D82218" w:rsidRPr="00D82218">
        <w:rPr>
          <w:szCs w:val="24"/>
        </w:rPr>
        <w:t>LVS pF-P</w:t>
      </w:r>
      <w:r w:rsidR="00D82218" w:rsidRPr="00D82218">
        <w:rPr>
          <w:i/>
          <w:iCs/>
          <w:szCs w:val="24"/>
        </w:rPr>
        <w:t>rpsU1</w:t>
      </w:r>
      <w:r w:rsidR="00D82218" w:rsidRPr="00D82218">
        <w:rPr>
          <w:szCs w:val="24"/>
        </w:rPr>
        <w:t xml:space="preserve">-GFP </w:t>
      </w:r>
      <w:r w:rsidR="00D82218">
        <w:rPr>
          <w:szCs w:val="24"/>
        </w:rPr>
        <w:t xml:space="preserve">and </w:t>
      </w:r>
      <w:r w:rsidR="00D82218" w:rsidRPr="00D82218">
        <w:rPr>
          <w:szCs w:val="24"/>
        </w:rPr>
        <w:t>LVS pF-P</w:t>
      </w:r>
      <w:r w:rsidR="00D82218" w:rsidRPr="00D82218">
        <w:rPr>
          <w:i/>
          <w:iCs/>
          <w:szCs w:val="24"/>
        </w:rPr>
        <w:t>rpsU3</w:t>
      </w:r>
      <w:r w:rsidR="00D82218" w:rsidRPr="00D82218">
        <w:rPr>
          <w:szCs w:val="24"/>
        </w:rPr>
        <w:t>-GFP</w:t>
      </w:r>
      <w:r w:rsidR="00D82218">
        <w:rPr>
          <w:szCs w:val="24"/>
        </w:rPr>
        <w:t>, respectively.</w:t>
      </w:r>
      <w:r w:rsidR="00970E8A">
        <w:rPr>
          <w:szCs w:val="24"/>
        </w:rPr>
        <w:t xml:space="preserve"> </w:t>
      </w:r>
      <w:r w:rsidR="00D82218">
        <w:rPr>
          <w:szCs w:val="24"/>
        </w:rPr>
        <w:t xml:space="preserve">These were previously created by electroporating the replicative </w:t>
      </w:r>
      <w:r w:rsidR="00D82218">
        <w:rPr>
          <w:szCs w:val="24"/>
        </w:rPr>
        <w:lastRenderedPageBreak/>
        <w:t xml:space="preserve">pF-based plasmids containing the promoter regions of either </w:t>
      </w:r>
      <w:r w:rsidR="00D82218">
        <w:rPr>
          <w:i/>
          <w:iCs/>
          <w:szCs w:val="24"/>
        </w:rPr>
        <w:t>rpsU1/</w:t>
      </w:r>
      <w:proofErr w:type="spellStart"/>
      <w:r w:rsidR="00D82218">
        <w:rPr>
          <w:i/>
          <w:iCs/>
          <w:szCs w:val="24"/>
        </w:rPr>
        <w:t>cspC</w:t>
      </w:r>
      <w:proofErr w:type="spellEnd"/>
      <w:r w:rsidR="00D82218">
        <w:rPr>
          <w:i/>
          <w:iCs/>
          <w:szCs w:val="24"/>
        </w:rPr>
        <w:t xml:space="preserve"> </w:t>
      </w:r>
      <w:r w:rsidR="00D82218">
        <w:rPr>
          <w:szCs w:val="24"/>
        </w:rPr>
        <w:t xml:space="preserve">or </w:t>
      </w:r>
      <w:r w:rsidR="00D82218">
        <w:rPr>
          <w:i/>
          <w:iCs/>
          <w:szCs w:val="24"/>
        </w:rPr>
        <w:t xml:space="preserve">rpsU3 </w:t>
      </w:r>
      <w:r w:rsidR="00D82218">
        <w:rPr>
          <w:szCs w:val="24"/>
        </w:rPr>
        <w:t xml:space="preserve">to GFP. The plasmids used were </w:t>
      </w:r>
      <w:r w:rsidR="00D82218" w:rsidRPr="00D82218">
        <w:rPr>
          <w:szCs w:val="24"/>
        </w:rPr>
        <w:t xml:space="preserve">pKR153 </w:t>
      </w:r>
      <w:r w:rsidR="00D82218">
        <w:rPr>
          <w:szCs w:val="24"/>
        </w:rPr>
        <w:t>(</w:t>
      </w:r>
      <w:r w:rsidR="00D82218" w:rsidRPr="00D82218">
        <w:rPr>
          <w:szCs w:val="24"/>
        </w:rPr>
        <w:t>pF-P</w:t>
      </w:r>
      <w:r w:rsidR="00D82218" w:rsidRPr="00D82218">
        <w:rPr>
          <w:i/>
          <w:iCs/>
          <w:szCs w:val="24"/>
        </w:rPr>
        <w:t>rpsU1</w:t>
      </w:r>
      <w:r w:rsidR="00D82218" w:rsidRPr="00D82218">
        <w:rPr>
          <w:szCs w:val="24"/>
        </w:rPr>
        <w:t>-GFP</w:t>
      </w:r>
      <w:r w:rsidR="00D82218">
        <w:rPr>
          <w:szCs w:val="24"/>
        </w:rPr>
        <w:t xml:space="preserve">) or </w:t>
      </w:r>
      <w:r w:rsidR="00D82218" w:rsidRPr="00D82218">
        <w:rPr>
          <w:szCs w:val="24"/>
        </w:rPr>
        <w:t xml:space="preserve">pKR154 </w:t>
      </w:r>
      <w:r w:rsidR="00D82218">
        <w:rPr>
          <w:szCs w:val="24"/>
        </w:rPr>
        <w:t>(</w:t>
      </w:r>
      <w:r w:rsidR="00D82218" w:rsidRPr="00D82218">
        <w:rPr>
          <w:szCs w:val="24"/>
        </w:rPr>
        <w:t>pF-P</w:t>
      </w:r>
      <w:r w:rsidR="00D82218" w:rsidRPr="00D82218">
        <w:rPr>
          <w:i/>
          <w:iCs/>
          <w:szCs w:val="24"/>
        </w:rPr>
        <w:t>rspU3</w:t>
      </w:r>
      <w:r w:rsidR="00D82218" w:rsidRPr="00D82218">
        <w:rPr>
          <w:szCs w:val="24"/>
        </w:rPr>
        <w:t>-GFP</w:t>
      </w:r>
      <w:r w:rsidR="00D82218">
        <w:rPr>
          <w:szCs w:val="24"/>
        </w:rPr>
        <w:t xml:space="preserve">). </w:t>
      </w:r>
      <w:r w:rsidR="00970E8A">
        <w:rPr>
          <w:szCs w:val="24"/>
        </w:rPr>
        <w:t xml:space="preserve">For use in the </w:t>
      </w:r>
      <w:r w:rsidR="00D82218" w:rsidRPr="00D82218">
        <w:rPr>
          <w:szCs w:val="24"/>
        </w:rPr>
        <w:t>β-Galactosidase Assay</w:t>
      </w:r>
      <w:r w:rsidR="00D82218">
        <w:rPr>
          <w:szCs w:val="24"/>
        </w:rPr>
        <w:t xml:space="preserve">, strains KRLVS28 and KRLVS75 were used. The genotypes of these strains were LVS </w:t>
      </w:r>
      <w:r w:rsidR="00D82218">
        <w:rPr>
          <w:i/>
          <w:iCs/>
          <w:szCs w:val="24"/>
        </w:rPr>
        <w:t xml:space="preserve">rpsU1-lacZ </w:t>
      </w:r>
      <w:r w:rsidR="00D82218">
        <w:rPr>
          <w:szCs w:val="24"/>
        </w:rPr>
        <w:t xml:space="preserve">and LVS </w:t>
      </w:r>
      <w:r w:rsidR="00D82218">
        <w:rPr>
          <w:i/>
          <w:iCs/>
          <w:szCs w:val="24"/>
        </w:rPr>
        <w:t xml:space="preserve">rpsU3-lacZ </w:t>
      </w:r>
      <w:r w:rsidR="00D82218">
        <w:rPr>
          <w:szCs w:val="24"/>
        </w:rPr>
        <w:t xml:space="preserve">respectively. These were previously created using allelic exchanged </w:t>
      </w:r>
      <w:proofErr w:type="spellStart"/>
      <w:r w:rsidR="00D82218">
        <w:rPr>
          <w:szCs w:val="24"/>
        </w:rPr>
        <w:t>pEX</w:t>
      </w:r>
      <w:proofErr w:type="spellEnd"/>
      <w:r w:rsidR="00D82218">
        <w:rPr>
          <w:szCs w:val="24"/>
        </w:rPr>
        <w:t>-based plasmids, pKR34 (</w:t>
      </w:r>
      <w:r w:rsidR="00D82218" w:rsidRPr="00D82218">
        <w:rPr>
          <w:szCs w:val="24"/>
        </w:rPr>
        <w:t>pEX_</w:t>
      </w:r>
      <w:r w:rsidR="00D82218" w:rsidRPr="00D82218">
        <w:rPr>
          <w:i/>
          <w:iCs/>
          <w:szCs w:val="24"/>
        </w:rPr>
        <w:t>rpsU1_lacZ</w:t>
      </w:r>
      <w:r w:rsidR="00D82218">
        <w:rPr>
          <w:szCs w:val="24"/>
        </w:rPr>
        <w:t>) or pKR38 (</w:t>
      </w:r>
      <w:r w:rsidR="00D82218" w:rsidRPr="00D82218">
        <w:rPr>
          <w:szCs w:val="24"/>
        </w:rPr>
        <w:t>pEX_</w:t>
      </w:r>
      <w:r w:rsidR="00D82218" w:rsidRPr="00D82218">
        <w:rPr>
          <w:i/>
          <w:iCs/>
          <w:szCs w:val="24"/>
        </w:rPr>
        <w:t>rpsU3_lacZ</w:t>
      </w:r>
      <w:r w:rsidR="00D82218">
        <w:rPr>
          <w:szCs w:val="24"/>
        </w:rPr>
        <w:t xml:space="preserve">). </w:t>
      </w:r>
    </w:p>
    <w:p w14:paraId="4CC33A62" w14:textId="55C09372" w:rsidR="00511AFF" w:rsidRPr="00511AFF" w:rsidRDefault="00511AFF" w:rsidP="00511AFF">
      <w:pPr>
        <w:spacing w:line="480" w:lineRule="auto"/>
        <w:rPr>
          <w:i/>
          <w:iCs/>
          <w:szCs w:val="24"/>
        </w:rPr>
      </w:pPr>
      <w:r w:rsidRPr="00511AFF">
        <w:rPr>
          <w:i/>
          <w:iCs/>
          <w:szCs w:val="24"/>
        </w:rPr>
        <w:t>Screening for Environmental Conditions - Growth</w:t>
      </w:r>
    </w:p>
    <w:p w14:paraId="78A3A9F9" w14:textId="3789B982" w:rsidR="00511AFF" w:rsidRPr="00511AFF" w:rsidRDefault="00511AFF" w:rsidP="00511AFF">
      <w:pPr>
        <w:spacing w:line="480" w:lineRule="auto"/>
        <w:ind w:firstLine="450"/>
        <w:rPr>
          <w:szCs w:val="24"/>
        </w:rPr>
      </w:pPr>
      <w:r w:rsidRPr="00511AFF">
        <w:rPr>
          <w:szCs w:val="24"/>
        </w:rPr>
        <w:t>Changes in temperature, salinity, pH, hydrogen peroxide (H</w:t>
      </w:r>
      <w:r w:rsidRPr="00D82218">
        <w:rPr>
          <w:szCs w:val="24"/>
          <w:vertAlign w:val="subscript"/>
        </w:rPr>
        <w:t>2</w:t>
      </w:r>
      <w:r w:rsidRPr="00511AFF">
        <w:rPr>
          <w:szCs w:val="24"/>
        </w:rPr>
        <w:t>O</w:t>
      </w:r>
      <w:r w:rsidRPr="00D82218">
        <w:rPr>
          <w:szCs w:val="24"/>
          <w:vertAlign w:val="subscript"/>
        </w:rPr>
        <w:t>2</w:t>
      </w:r>
      <w:r w:rsidRPr="00511AFF">
        <w:rPr>
          <w:szCs w:val="24"/>
        </w:rPr>
        <w:t xml:space="preserve">) stress, and UV stress </w:t>
      </w:r>
      <w:r w:rsidR="00D82218">
        <w:rPr>
          <w:szCs w:val="24"/>
        </w:rPr>
        <w:t>were</w:t>
      </w:r>
      <w:r w:rsidRPr="00511AFF">
        <w:rPr>
          <w:szCs w:val="24"/>
        </w:rPr>
        <w:t xml:space="preserve"> tested in MHB. To test salinity and pH, cells are grown to early-log phase and transferred to fresh, appropriately altered MHB for an additional </w:t>
      </w:r>
      <w:proofErr w:type="gramStart"/>
      <w:r w:rsidRPr="00511AFF">
        <w:rPr>
          <w:szCs w:val="24"/>
        </w:rPr>
        <w:t>30-60 minute</w:t>
      </w:r>
      <w:proofErr w:type="gramEnd"/>
      <w:r w:rsidRPr="00511AFF">
        <w:rPr>
          <w:szCs w:val="24"/>
        </w:rPr>
        <w:t xml:space="preserve"> growth period. Alternatively, for temperature, H</w:t>
      </w:r>
      <w:r w:rsidRPr="00D82218">
        <w:rPr>
          <w:szCs w:val="24"/>
          <w:vertAlign w:val="subscript"/>
        </w:rPr>
        <w:t>2</w:t>
      </w:r>
      <w:r w:rsidRPr="00511AFF">
        <w:rPr>
          <w:szCs w:val="24"/>
        </w:rPr>
        <w:t>O</w:t>
      </w:r>
      <w:r w:rsidRPr="00D82218">
        <w:rPr>
          <w:szCs w:val="24"/>
          <w:vertAlign w:val="subscript"/>
        </w:rPr>
        <w:t>2</w:t>
      </w:r>
      <w:r w:rsidRPr="00511AFF">
        <w:rPr>
          <w:szCs w:val="24"/>
        </w:rPr>
        <w:t xml:space="preserve">, and UV stress, cultures are grown to mid-log, exposed to the condition, and given 30 minutes to recover. MHB versus CDM </w:t>
      </w:r>
      <w:r w:rsidR="00D82218">
        <w:rPr>
          <w:szCs w:val="24"/>
        </w:rPr>
        <w:t>was</w:t>
      </w:r>
      <w:r w:rsidRPr="00511AFF">
        <w:rPr>
          <w:szCs w:val="24"/>
        </w:rPr>
        <w:t xml:space="preserve"> tested by growing cultures to mid-log in MHB or CDM. </w:t>
      </w:r>
      <w:r w:rsidR="00D82218">
        <w:rPr>
          <w:szCs w:val="24"/>
        </w:rPr>
        <w:t xml:space="preserve">Changes in iron, magnesium, or spermine concentrations were tested in CDM by altering the recipe to reflect the concentrations tested, and allowing the cultures to grow to mid-log. </w:t>
      </w:r>
    </w:p>
    <w:p w14:paraId="39BCB6A2" w14:textId="273877B8" w:rsidR="00511AFF" w:rsidRPr="00511AFF" w:rsidRDefault="00511AFF" w:rsidP="00511AFF">
      <w:pPr>
        <w:spacing w:line="480" w:lineRule="auto"/>
        <w:rPr>
          <w:i/>
          <w:iCs/>
          <w:szCs w:val="24"/>
        </w:rPr>
      </w:pPr>
      <w:r w:rsidRPr="00511AFF">
        <w:rPr>
          <w:i/>
          <w:iCs/>
          <w:szCs w:val="24"/>
        </w:rPr>
        <w:t xml:space="preserve">GFP Assay </w:t>
      </w:r>
    </w:p>
    <w:p w14:paraId="60280114" w14:textId="75443302" w:rsidR="00970E8A" w:rsidRDefault="00511AFF" w:rsidP="00970E8A">
      <w:pPr>
        <w:spacing w:line="480" w:lineRule="auto"/>
        <w:ind w:firstLine="450"/>
        <w:rPr>
          <w:szCs w:val="24"/>
        </w:rPr>
      </w:pPr>
      <w:r w:rsidRPr="00511AFF">
        <w:rPr>
          <w:szCs w:val="24"/>
        </w:rPr>
        <w:t xml:space="preserve">After cultures </w:t>
      </w:r>
      <w:r w:rsidR="00D82218">
        <w:rPr>
          <w:szCs w:val="24"/>
        </w:rPr>
        <w:t>were</w:t>
      </w:r>
      <w:r w:rsidRPr="00511AFF">
        <w:rPr>
          <w:szCs w:val="24"/>
        </w:rPr>
        <w:t xml:space="preserve"> grown to mid-log, 1</w:t>
      </w:r>
      <w:r w:rsidR="00D82218">
        <w:rPr>
          <w:szCs w:val="24"/>
        </w:rPr>
        <w:t xml:space="preserve"> </w:t>
      </w:r>
      <w:r w:rsidRPr="00511AFF">
        <w:rPr>
          <w:szCs w:val="24"/>
        </w:rPr>
        <w:t>-</w:t>
      </w:r>
      <w:r w:rsidR="00D82218">
        <w:rPr>
          <w:szCs w:val="24"/>
        </w:rPr>
        <w:t xml:space="preserve"> </w:t>
      </w:r>
      <w:r w:rsidRPr="00511AFF">
        <w:rPr>
          <w:szCs w:val="24"/>
        </w:rPr>
        <w:t xml:space="preserve">4mL </w:t>
      </w:r>
      <w:r w:rsidR="00D82218">
        <w:rPr>
          <w:szCs w:val="24"/>
        </w:rPr>
        <w:t>was</w:t>
      </w:r>
      <w:r w:rsidRPr="00511AFF">
        <w:rPr>
          <w:szCs w:val="24"/>
        </w:rPr>
        <w:t xml:space="preserve"> pelleted and resuspended in 1xPBS. In technical triplicate, 250 </w:t>
      </w:r>
      <w:proofErr w:type="spellStart"/>
      <w:r w:rsidRPr="00511AFF">
        <w:rPr>
          <w:szCs w:val="24"/>
        </w:rPr>
        <w:t>uL</w:t>
      </w:r>
      <w:proofErr w:type="spellEnd"/>
      <w:r w:rsidRPr="00511AFF">
        <w:rPr>
          <w:szCs w:val="24"/>
        </w:rPr>
        <w:t xml:space="preserve"> </w:t>
      </w:r>
      <w:r w:rsidR="00D82218">
        <w:rPr>
          <w:szCs w:val="24"/>
        </w:rPr>
        <w:t>was</w:t>
      </w:r>
      <w:r w:rsidRPr="00511AFF">
        <w:rPr>
          <w:szCs w:val="24"/>
        </w:rPr>
        <w:t xml:space="preserve"> plated in a clear 96-well plate and the OD600 </w:t>
      </w:r>
      <w:r w:rsidR="00D82218">
        <w:rPr>
          <w:szCs w:val="24"/>
        </w:rPr>
        <w:t>was</w:t>
      </w:r>
      <w:r w:rsidRPr="00511AFF">
        <w:rPr>
          <w:szCs w:val="24"/>
        </w:rPr>
        <w:t xml:space="preserve"> read by the</w:t>
      </w:r>
      <w:r w:rsidR="006E1F83">
        <w:rPr>
          <w:szCs w:val="24"/>
        </w:rPr>
        <w:t xml:space="preserve"> </w:t>
      </w:r>
      <w:proofErr w:type="spellStart"/>
      <w:r w:rsidR="006E1F83" w:rsidRPr="006E1F83">
        <w:rPr>
          <w:szCs w:val="24"/>
        </w:rPr>
        <w:t>SpectraMax</w:t>
      </w:r>
      <w:proofErr w:type="spellEnd"/>
      <w:r w:rsidR="006E1F83">
        <w:rPr>
          <w:rFonts w:cs="Arial"/>
          <w:szCs w:val="24"/>
        </w:rPr>
        <w:t>®</w:t>
      </w:r>
      <w:r w:rsidR="006E1F83" w:rsidRPr="006E1F83">
        <w:rPr>
          <w:szCs w:val="24"/>
        </w:rPr>
        <w:t xml:space="preserve"> iD3 Multi-Mode Microplate Reader</w:t>
      </w:r>
      <w:r w:rsidRPr="00511AFF">
        <w:rPr>
          <w:szCs w:val="24"/>
        </w:rPr>
        <w:t xml:space="preserve">. 200 </w:t>
      </w:r>
      <w:proofErr w:type="spellStart"/>
      <w:r w:rsidRPr="00511AFF">
        <w:rPr>
          <w:szCs w:val="24"/>
        </w:rPr>
        <w:t>uL</w:t>
      </w:r>
      <w:proofErr w:type="spellEnd"/>
      <w:r w:rsidRPr="00511AFF">
        <w:rPr>
          <w:szCs w:val="24"/>
        </w:rPr>
        <w:t xml:space="preserve"> of the sample </w:t>
      </w:r>
      <w:r w:rsidR="006E1F83">
        <w:rPr>
          <w:szCs w:val="24"/>
        </w:rPr>
        <w:t>was then</w:t>
      </w:r>
      <w:r w:rsidRPr="00511AFF">
        <w:rPr>
          <w:szCs w:val="24"/>
        </w:rPr>
        <w:t xml:space="preserve"> transferred to a black 96-well plate and the fluorescent value </w:t>
      </w:r>
      <w:r w:rsidR="006E1F83">
        <w:rPr>
          <w:szCs w:val="24"/>
        </w:rPr>
        <w:t>was</w:t>
      </w:r>
      <w:r w:rsidRPr="00511AFF">
        <w:rPr>
          <w:szCs w:val="24"/>
        </w:rPr>
        <w:t xml:space="preserve"> measured. Fluorescence </w:t>
      </w:r>
      <w:r w:rsidR="006E1F83">
        <w:rPr>
          <w:szCs w:val="24"/>
        </w:rPr>
        <w:t>was</w:t>
      </w:r>
      <w:r w:rsidRPr="00511AFF">
        <w:rPr>
          <w:szCs w:val="24"/>
        </w:rPr>
        <w:t xml:space="preserve"> </w:t>
      </w:r>
      <w:r w:rsidRPr="00511AFF">
        <w:rPr>
          <w:szCs w:val="24"/>
        </w:rPr>
        <w:lastRenderedPageBreak/>
        <w:t xml:space="preserve">normalized to LVS containing an empty vector (pF) in </w:t>
      </w:r>
      <w:r w:rsidR="006E1F83">
        <w:rPr>
          <w:szCs w:val="24"/>
        </w:rPr>
        <w:t>1x</w:t>
      </w:r>
      <w:r w:rsidRPr="00511AFF">
        <w:rPr>
          <w:szCs w:val="24"/>
        </w:rPr>
        <w:t xml:space="preserve">PBS, and calculated relative to the corresponding OD600. </w:t>
      </w:r>
      <w:r w:rsidR="00970E8A">
        <w:rPr>
          <w:szCs w:val="24"/>
        </w:rPr>
        <w:t xml:space="preserve">  </w:t>
      </w:r>
    </w:p>
    <w:p w14:paraId="726F9424" w14:textId="02ADC9EB" w:rsidR="00970E8A" w:rsidRPr="00970E8A" w:rsidRDefault="00970E8A" w:rsidP="00970E8A">
      <w:pPr>
        <w:spacing w:line="480" w:lineRule="auto"/>
        <w:rPr>
          <w:i/>
          <w:iCs/>
          <w:szCs w:val="24"/>
        </w:rPr>
      </w:pPr>
      <w:bookmarkStart w:id="12" w:name="_Hlk142532886"/>
      <w:r w:rsidRPr="00970E8A">
        <w:rPr>
          <w:i/>
          <w:iCs/>
          <w:szCs w:val="24"/>
        </w:rPr>
        <w:t>β</w:t>
      </w:r>
      <w:bookmarkEnd w:id="12"/>
      <w:r w:rsidRPr="00970E8A">
        <w:rPr>
          <w:i/>
          <w:iCs/>
          <w:szCs w:val="24"/>
        </w:rPr>
        <w:t>-Galactosidase Assay</w:t>
      </w:r>
    </w:p>
    <w:p w14:paraId="3F8D476F" w14:textId="48061B5C" w:rsidR="00970E8A" w:rsidRDefault="00970E8A" w:rsidP="00970E8A">
      <w:pPr>
        <w:spacing w:line="480" w:lineRule="auto"/>
        <w:ind w:firstLine="450"/>
        <w:rPr>
          <w:szCs w:val="24"/>
        </w:rPr>
        <w:sectPr w:rsidR="00970E8A">
          <w:headerReference w:type="default" r:id="rId16"/>
          <w:footerReference w:type="default" r:id="rId17"/>
          <w:pgSz w:w="12240" w:h="15840"/>
          <w:pgMar w:top="1440" w:right="1440" w:bottom="1440" w:left="2448" w:header="720" w:footer="720" w:gutter="0"/>
          <w:cols w:space="720"/>
          <w:formProt w:val="0"/>
          <w:docGrid w:linePitch="600" w:charSpace="32768"/>
        </w:sectPr>
      </w:pPr>
      <w:r w:rsidRPr="00970E8A">
        <w:rPr>
          <w:szCs w:val="24"/>
        </w:rPr>
        <w:t xml:space="preserve">Cultures </w:t>
      </w:r>
      <w:r w:rsidR="006E1F83">
        <w:rPr>
          <w:szCs w:val="24"/>
        </w:rPr>
        <w:t>were</w:t>
      </w:r>
      <w:r w:rsidRPr="00970E8A">
        <w:rPr>
          <w:szCs w:val="24"/>
        </w:rPr>
        <w:t xml:space="preserve"> grown to early mid-log (around OD600 0.3) in triplicate. Growth </w:t>
      </w:r>
      <w:r w:rsidR="006E1F83">
        <w:rPr>
          <w:szCs w:val="24"/>
        </w:rPr>
        <w:t>was</w:t>
      </w:r>
      <w:r w:rsidRPr="00970E8A">
        <w:rPr>
          <w:szCs w:val="24"/>
        </w:rPr>
        <w:t xml:space="preserve"> halted by placing cultures on ice for at least 30 minutes before cells </w:t>
      </w:r>
      <w:r w:rsidR="006E1F83">
        <w:rPr>
          <w:szCs w:val="24"/>
        </w:rPr>
        <w:t>were</w:t>
      </w:r>
      <w:r w:rsidRPr="00970E8A">
        <w:rPr>
          <w:szCs w:val="24"/>
        </w:rPr>
        <w:t xml:space="preserve"> added to tubes containing Z-buffer supplemented with </w:t>
      </w:r>
      <w:r w:rsidR="006E1F83" w:rsidRPr="006E1F83">
        <w:rPr>
          <w:szCs w:val="24"/>
        </w:rPr>
        <w:t>β</w:t>
      </w:r>
      <w:r w:rsidRPr="00970E8A">
        <w:rPr>
          <w:szCs w:val="24"/>
        </w:rPr>
        <w:t>-</w:t>
      </w:r>
      <w:proofErr w:type="spellStart"/>
      <w:r w:rsidRPr="00970E8A">
        <w:rPr>
          <w:szCs w:val="24"/>
        </w:rPr>
        <w:t>mercaptoethanol</w:t>
      </w:r>
      <w:proofErr w:type="spellEnd"/>
      <w:r w:rsidRPr="00970E8A">
        <w:rPr>
          <w:szCs w:val="24"/>
        </w:rPr>
        <w:t xml:space="preserve">. 0.1% SDS and chloroform </w:t>
      </w:r>
      <w:r w:rsidR="006E1F83">
        <w:rPr>
          <w:szCs w:val="24"/>
        </w:rPr>
        <w:t>were</w:t>
      </w:r>
      <w:r w:rsidRPr="00970E8A">
        <w:rPr>
          <w:szCs w:val="24"/>
        </w:rPr>
        <w:t xml:space="preserve"> added, cultures </w:t>
      </w:r>
      <w:r w:rsidR="006E1F83">
        <w:rPr>
          <w:szCs w:val="24"/>
        </w:rPr>
        <w:t>were</w:t>
      </w:r>
      <w:r w:rsidRPr="00970E8A">
        <w:rPr>
          <w:szCs w:val="24"/>
        </w:rPr>
        <w:t xml:space="preserve"> vortexed, then allowed to come to 28°C for 10 minutes prior to the addition of the substrate O-nitrophenyl-</w:t>
      </w:r>
      <w:r w:rsidR="006E1F83" w:rsidRPr="006E1F83">
        <w:t xml:space="preserve"> </w:t>
      </w:r>
      <w:r w:rsidR="006E1F83" w:rsidRPr="006E1F83">
        <w:rPr>
          <w:szCs w:val="24"/>
        </w:rPr>
        <w:t xml:space="preserve">β </w:t>
      </w:r>
      <w:r w:rsidRPr="00970E8A">
        <w:rPr>
          <w:szCs w:val="24"/>
        </w:rPr>
        <w:t>-</w:t>
      </w:r>
      <w:proofErr w:type="spellStart"/>
      <w:r w:rsidRPr="00970E8A">
        <w:rPr>
          <w:szCs w:val="24"/>
        </w:rPr>
        <w:t>galactopyranoside</w:t>
      </w:r>
      <w:proofErr w:type="spellEnd"/>
      <w:r w:rsidRPr="00970E8A">
        <w:rPr>
          <w:szCs w:val="24"/>
        </w:rPr>
        <w:t xml:space="preserve"> (ONPG). Reactions </w:t>
      </w:r>
      <w:r w:rsidR="006E1F83">
        <w:rPr>
          <w:szCs w:val="24"/>
        </w:rPr>
        <w:t>were</w:t>
      </w:r>
      <w:r w:rsidRPr="00970E8A">
        <w:rPr>
          <w:szCs w:val="24"/>
        </w:rPr>
        <w:t xml:space="preserve"> stopped upon reaching a yellow color, OD420 0.6-0.9.</w:t>
      </w:r>
    </w:p>
    <w:p w14:paraId="29FA4F08" w14:textId="0850B275" w:rsidR="002F7F7A" w:rsidRDefault="0000083B" w:rsidP="00507E90">
      <w:pPr>
        <w:pStyle w:val="Heading2"/>
        <w:jc w:val="center"/>
      </w:pPr>
      <w:bookmarkStart w:id="13" w:name="__RefHeading___Toc235935208"/>
      <w:bookmarkStart w:id="14" w:name="_Toc141519754"/>
      <w:bookmarkEnd w:id="13"/>
      <w:r>
        <w:lastRenderedPageBreak/>
        <w:t>REFERENCES</w:t>
      </w:r>
      <w:bookmarkEnd w:id="14"/>
    </w:p>
    <w:p w14:paraId="02B6BA5B" w14:textId="77777777" w:rsidR="002F7F7A" w:rsidRDefault="002F7F7A">
      <w:pPr>
        <w:spacing w:line="480" w:lineRule="auto"/>
      </w:pPr>
    </w:p>
    <w:p w14:paraId="17AB1E62" w14:textId="4D30C2FA" w:rsidR="002F7F7A" w:rsidRDefault="002F7F7A">
      <w:pPr>
        <w:spacing w:line="480" w:lineRule="auto"/>
      </w:pPr>
    </w:p>
    <w:sectPr w:rsidR="002F7F7A">
      <w:headerReference w:type="default" r:id="rId18"/>
      <w:footerReference w:type="default" r:id="rId19"/>
      <w:pgSz w:w="12240" w:h="15840"/>
      <w:pgMar w:top="1440" w:right="1440" w:bottom="1440" w:left="2448" w:header="720" w:footer="720" w:gutter="0"/>
      <w:cols w:space="720"/>
      <w:formProt w:val="0"/>
      <w:docGrid w:linePitch="600" w:charSpace="3276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Sierra Schmidt" w:date="2023-08-16T17:00:00Z" w:initials="SS">
    <w:p w14:paraId="44CA91DB" w14:textId="77777777" w:rsidR="008F6171" w:rsidRDefault="008F6171" w:rsidP="008F6171">
      <w:pPr>
        <w:pStyle w:val="CommentText"/>
      </w:pPr>
      <w:r>
        <w:rPr>
          <w:rStyle w:val="CommentReference"/>
        </w:rPr>
        <w:annotationRef/>
      </w:r>
      <w:r>
        <w:t>Double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CA91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77F19" w16cex:dateUtc="2023-08-16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CA91DB" w16cid:durableId="28877F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F5E1" w14:textId="77777777" w:rsidR="007C508E" w:rsidRDefault="007C508E">
      <w:r>
        <w:separator/>
      </w:r>
    </w:p>
  </w:endnote>
  <w:endnote w:type="continuationSeparator" w:id="0">
    <w:p w14:paraId="49111B15" w14:textId="77777777" w:rsidR="007C508E" w:rsidRDefault="007C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847EE" w14:textId="77777777" w:rsidR="002F7F7A" w:rsidRDefault="00000000">
    <w:pPr>
      <w:pStyle w:val="Footer"/>
      <w:jc w:val="center"/>
    </w:pPr>
    <w:r>
      <w:fldChar w:fldCharType="begin"/>
    </w:r>
    <w:r>
      <w:instrText>PAGE</w:instrText>
    </w:r>
    <w:r>
      <w:fldChar w:fldCharType="separate"/>
    </w:r>
    <w:r>
      <w:t>6</w:t>
    </w:r>
    <w:r>
      <w:fldChar w:fldCharType="end"/>
    </w:r>
  </w:p>
  <w:p w14:paraId="05BC41E4" w14:textId="77777777" w:rsidR="002F7F7A" w:rsidRDefault="002F7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553F0" w14:textId="77777777" w:rsidR="00507E90" w:rsidRDefault="00507E90">
    <w:pPr>
      <w:pStyle w:val="Footer"/>
      <w:jc w:val="center"/>
    </w:pPr>
    <w:r>
      <w:fldChar w:fldCharType="begin"/>
    </w:r>
    <w:r>
      <w:instrText>PAGE</w:instrText>
    </w:r>
    <w:r>
      <w:fldChar w:fldCharType="separate"/>
    </w:r>
    <w:r>
      <w:t>12</w:t>
    </w:r>
    <w:r>
      <w:fldChar w:fldCharType="end"/>
    </w:r>
  </w:p>
  <w:p w14:paraId="12920884" w14:textId="77777777" w:rsidR="00507E90" w:rsidRDefault="00507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0FF8" w14:textId="77777777" w:rsidR="002F7F7A" w:rsidRDefault="00000000">
    <w:pPr>
      <w:pStyle w:val="Footer"/>
      <w:jc w:val="center"/>
    </w:pPr>
    <w:r>
      <w:fldChar w:fldCharType="begin"/>
    </w:r>
    <w:r>
      <w:instrText>PAGE</w:instrText>
    </w:r>
    <w:r>
      <w:fldChar w:fldCharType="separate"/>
    </w:r>
    <w:r>
      <w:t>12</w:t>
    </w:r>
    <w:r>
      <w:fldChar w:fldCharType="end"/>
    </w:r>
  </w:p>
  <w:p w14:paraId="32755644" w14:textId="77777777" w:rsidR="002F7F7A" w:rsidRDefault="002F7F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101A" w14:textId="77777777" w:rsidR="002F7F7A" w:rsidRDefault="00000000">
    <w:pPr>
      <w:pStyle w:val="Footer"/>
      <w:jc w:val="center"/>
    </w:pPr>
    <w:r>
      <w:fldChar w:fldCharType="begin"/>
    </w:r>
    <w:r>
      <w:instrText>PAGE</w:instrText>
    </w:r>
    <w:r>
      <w:fldChar w:fldCharType="separate"/>
    </w:r>
    <w:r>
      <w:t>14</w:t>
    </w:r>
    <w:r>
      <w:fldChar w:fldCharType="end"/>
    </w:r>
  </w:p>
  <w:p w14:paraId="422A5930" w14:textId="77777777" w:rsidR="002F7F7A" w:rsidRDefault="002F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678BE" w14:textId="77777777" w:rsidR="007C508E" w:rsidRDefault="007C508E">
      <w:r>
        <w:separator/>
      </w:r>
    </w:p>
  </w:footnote>
  <w:footnote w:type="continuationSeparator" w:id="0">
    <w:p w14:paraId="35628A54" w14:textId="77777777" w:rsidR="007C508E" w:rsidRDefault="007C5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B0E88" w14:textId="77777777" w:rsidR="002F7F7A" w:rsidRDefault="002F7F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50EC2" w14:textId="77777777" w:rsidR="00507E90" w:rsidRDefault="00507E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CF90" w14:textId="77777777" w:rsidR="002F7F7A" w:rsidRDefault="002F7F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2D8A" w14:textId="77777777" w:rsidR="002F7F7A" w:rsidRDefault="002F7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01D"/>
    <w:multiLevelType w:val="multilevel"/>
    <w:tmpl w:val="AA9822A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8E1404"/>
    <w:multiLevelType w:val="multilevel"/>
    <w:tmpl w:val="3B2466D4"/>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78964037">
    <w:abstractNumId w:val="1"/>
  </w:num>
  <w:num w:numId="2" w16cid:durableId="5518939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erra Schmidt">
    <w15:presenceInfo w15:providerId="Windows Live" w15:userId="8b222188ecf991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F7A"/>
    <w:rsid w:val="0000083B"/>
    <w:rsid w:val="00076CA9"/>
    <w:rsid w:val="000E02E0"/>
    <w:rsid w:val="00156651"/>
    <w:rsid w:val="00162400"/>
    <w:rsid w:val="001876D7"/>
    <w:rsid w:val="001A37CF"/>
    <w:rsid w:val="001D7F4C"/>
    <w:rsid w:val="001E4514"/>
    <w:rsid w:val="00272ECD"/>
    <w:rsid w:val="002F7F7A"/>
    <w:rsid w:val="00494263"/>
    <w:rsid w:val="004C67D5"/>
    <w:rsid w:val="004D3922"/>
    <w:rsid w:val="004D6189"/>
    <w:rsid w:val="00507E90"/>
    <w:rsid w:val="00511AFF"/>
    <w:rsid w:val="005357E1"/>
    <w:rsid w:val="005415EA"/>
    <w:rsid w:val="006021FD"/>
    <w:rsid w:val="00625165"/>
    <w:rsid w:val="006E1F83"/>
    <w:rsid w:val="00766AB8"/>
    <w:rsid w:val="00776CB5"/>
    <w:rsid w:val="007C508E"/>
    <w:rsid w:val="007C7FE6"/>
    <w:rsid w:val="008221F3"/>
    <w:rsid w:val="008A1ED5"/>
    <w:rsid w:val="008E4D33"/>
    <w:rsid w:val="008F584A"/>
    <w:rsid w:val="008F6171"/>
    <w:rsid w:val="00927BCF"/>
    <w:rsid w:val="00934E01"/>
    <w:rsid w:val="00970E8A"/>
    <w:rsid w:val="009C5148"/>
    <w:rsid w:val="009E2E5F"/>
    <w:rsid w:val="00A83BA0"/>
    <w:rsid w:val="00A9114D"/>
    <w:rsid w:val="00AB259A"/>
    <w:rsid w:val="00B31B96"/>
    <w:rsid w:val="00C13F3E"/>
    <w:rsid w:val="00C608CB"/>
    <w:rsid w:val="00C751F0"/>
    <w:rsid w:val="00C7691E"/>
    <w:rsid w:val="00D406AA"/>
    <w:rsid w:val="00D82218"/>
    <w:rsid w:val="00DA7BC6"/>
    <w:rsid w:val="00DF02C1"/>
    <w:rsid w:val="00EB4101"/>
    <w:rsid w:val="00F3047B"/>
    <w:rsid w:val="00F62113"/>
    <w:rsid w:val="00F74F60"/>
    <w:rsid w:val="00F931B6"/>
    <w:rsid w:val="00FA0E77"/>
    <w:rsid w:val="00FC7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1FC0"/>
  <w15:docId w15:val="{1CC1170B-155C-48AA-988F-7D9E1643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Cs w:val="20"/>
      <w:lang w:bidi="ar-SA"/>
    </w:rPr>
  </w:style>
  <w:style w:type="paragraph" w:styleId="Heading1">
    <w:name w:val="heading 1"/>
    <w:basedOn w:val="BodyTextFirstIndent"/>
    <w:next w:val="Text"/>
    <w:uiPriority w:val="9"/>
    <w:qFormat/>
    <w:pPr>
      <w:keepNext/>
      <w:numPr>
        <w:numId w:val="1"/>
      </w:numPr>
      <w:jc w:val="center"/>
      <w:outlineLvl w:val="0"/>
    </w:pPr>
    <w:rPr>
      <w:rFonts w:ascii="Arial" w:hAnsi="Arial"/>
      <w:b w:val="0"/>
      <w:sz w:val="24"/>
    </w:rPr>
  </w:style>
  <w:style w:type="paragraph" w:styleId="Heading2">
    <w:name w:val="heading 2"/>
    <w:basedOn w:val="Heading"/>
    <w:next w:val="BodyText"/>
    <w:uiPriority w:val="9"/>
    <w:unhideWhenUsed/>
    <w:qFormat/>
    <w:pPr>
      <w:numPr>
        <w:ilvl w:val="1"/>
        <w:numId w:val="1"/>
      </w:numPr>
      <w:spacing w:before="0" w:after="0"/>
      <w:outlineLvl w:val="1"/>
    </w:pPr>
    <w:rPr>
      <w:bCs/>
      <w:sz w:val="24"/>
      <w:szCs w:val="32"/>
    </w:rPr>
  </w:style>
  <w:style w:type="paragraph" w:styleId="Heading3">
    <w:name w:val="heading 3"/>
    <w:basedOn w:val="Normal"/>
    <w:next w:val="Normal"/>
    <w:link w:val="Heading3Char"/>
    <w:uiPriority w:val="9"/>
    <w:unhideWhenUsed/>
    <w:qFormat/>
    <w:rsid w:val="00507E90"/>
    <w:pPr>
      <w:spacing w:line="480" w:lineRule="auto"/>
      <w:outlineLvl w:val="2"/>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styleId="PageNumber">
    <w:name w:val="page number"/>
    <w:basedOn w:val="DefaultParagraphFont"/>
  </w:style>
  <w:style w:type="character" w:customStyle="1" w:styleId="TitleChar">
    <w:name w:val="Title Char"/>
    <w:qFormat/>
    <w:rPr>
      <w:kern w:val="2"/>
      <w:sz w:val="24"/>
      <w:szCs w:val="24"/>
    </w:rPr>
  </w:style>
  <w:style w:type="character" w:customStyle="1" w:styleId="BodyTextChar">
    <w:name w:val="Body Text Char"/>
    <w:qFormat/>
    <w:rPr>
      <w:rFonts w:ascii="Courier New" w:hAnsi="Courier New" w:cs="Courier New"/>
      <w:b/>
      <w:bCs/>
      <w:szCs w:val="24"/>
    </w:rPr>
  </w:style>
  <w:style w:type="character" w:customStyle="1" w:styleId="FooterChar">
    <w:name w:val="Footer Char"/>
    <w:qFormat/>
    <w:rPr>
      <w:sz w:val="24"/>
    </w:rPr>
  </w:style>
  <w:style w:type="character" w:customStyle="1" w:styleId="Heading1Char">
    <w:name w:val="Heading 1 Char"/>
    <w:qFormat/>
    <w:rPr>
      <w:rFonts w:ascii="Courier New" w:hAnsi="Courier New" w:cs="Courier New"/>
      <w:b/>
      <w:bCs/>
      <w:szCs w:val="24"/>
      <w:u w:val="single"/>
    </w:rPr>
  </w:style>
  <w:style w:type="character" w:styleId="Hyperlink">
    <w:name w:val="Hyperlink"/>
    <w:uiPriority w:val="99"/>
    <w:rPr>
      <w:color w:val="0000FF"/>
      <w:u w:val="single"/>
    </w:rPr>
  </w:style>
  <w:style w:type="character" w:customStyle="1" w:styleId="BalloonTextChar">
    <w:name w:val="Balloon Text Char"/>
    <w:qFormat/>
    <w:rPr>
      <w:rFonts w:ascii="Tahoma" w:hAnsi="Tahoma" w:cs="Tahoma"/>
      <w:sz w:val="16"/>
      <w:szCs w:val="16"/>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eastAsia="Microsoft YaHei" w:cs="Mangal"/>
      <w:sz w:val="28"/>
      <w:szCs w:val="28"/>
    </w:rPr>
  </w:style>
  <w:style w:type="paragraph" w:styleId="BodyText">
    <w:name w:val="Body Text"/>
    <w:basedOn w:val="Normal"/>
    <w:rPr>
      <w:rFonts w:ascii="Courier New" w:hAnsi="Courier New" w:cs="Courier New"/>
      <w:b/>
      <w:bCs/>
      <w:sz w:val="20"/>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pPr>
      <w:suppressLineNumbers/>
      <w:tabs>
        <w:tab w:val="center" w:pos="4986"/>
        <w:tab w:val="right" w:pos="9972"/>
      </w:tabs>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next w:val="Subtitle"/>
    <w:uiPriority w:val="10"/>
    <w:qFormat/>
    <w:pPr>
      <w:widowControl w:val="0"/>
      <w:overflowPunct w:val="0"/>
      <w:autoSpaceDE w:val="0"/>
      <w:jc w:val="center"/>
    </w:pPr>
    <w:rPr>
      <w:kern w:val="2"/>
      <w:szCs w:val="24"/>
    </w:rPr>
  </w:style>
  <w:style w:type="paragraph" w:styleId="Subtitle">
    <w:name w:val="Subtitle"/>
    <w:basedOn w:val="Heading"/>
    <w:next w:val="BodyText"/>
    <w:uiPriority w:val="11"/>
    <w:qFormat/>
    <w:pPr>
      <w:jc w:val="center"/>
    </w:pPr>
    <w:rPr>
      <w:i/>
      <w:iCs/>
    </w:rPr>
  </w:style>
  <w:style w:type="paragraph" w:styleId="DocumentMap">
    <w:name w:val="Document Map"/>
    <w:basedOn w:val="Normal"/>
    <w:qFormat/>
    <w:pPr>
      <w:shd w:val="clear" w:color="auto" w:fill="000080"/>
    </w:pPr>
    <w:rPr>
      <w:rFonts w:ascii="Tahoma" w:hAnsi="Tahoma" w:cs="Tahoma"/>
      <w:sz w:val="20"/>
    </w:rPr>
  </w:style>
  <w:style w:type="paragraph" w:styleId="TOCHeading">
    <w:name w:val="TOC Heading"/>
    <w:basedOn w:val="Heading1"/>
    <w:next w:val="Normal"/>
    <w:qFormat/>
    <w:pPr>
      <w:keepLines/>
      <w:numPr>
        <w:numId w:val="0"/>
      </w:numPr>
      <w:spacing w:before="480" w:line="276" w:lineRule="auto"/>
    </w:pPr>
    <w:rPr>
      <w:rFonts w:ascii="Cambria" w:hAnsi="Cambria" w:cs="Times New Roman"/>
      <w:color w:val="365F91"/>
      <w:sz w:val="28"/>
      <w:szCs w:val="28"/>
    </w:rPr>
  </w:style>
  <w:style w:type="paragraph" w:styleId="TOC1">
    <w:name w:val="toc 1"/>
    <w:basedOn w:val="Normal"/>
    <w:next w:val="Normal"/>
    <w:uiPriority w:val="39"/>
    <w:pPr>
      <w:tabs>
        <w:tab w:val="right" w:leader="dot" w:pos="8342"/>
      </w:tabs>
      <w:spacing w:line="480" w:lineRule="auto"/>
      <w:ind w:left="360" w:hanging="360"/>
    </w:pPr>
  </w:style>
  <w:style w:type="paragraph" w:styleId="TOC2">
    <w:name w:val="toc 2"/>
    <w:basedOn w:val="Normal"/>
    <w:next w:val="Normal"/>
    <w:uiPriority w:val="39"/>
    <w:pPr>
      <w:spacing w:after="100" w:line="276" w:lineRule="auto"/>
      <w:ind w:left="220"/>
    </w:pPr>
    <w:rPr>
      <w:rFonts w:ascii="Calibri" w:hAnsi="Calibri"/>
      <w:sz w:val="22"/>
      <w:szCs w:val="22"/>
    </w:rPr>
  </w:style>
  <w:style w:type="paragraph" w:styleId="TOC3">
    <w:name w:val="toc 3"/>
    <w:basedOn w:val="Normal"/>
    <w:next w:val="Normal"/>
    <w:uiPriority w:val="39"/>
    <w:pPr>
      <w:spacing w:after="100" w:line="276" w:lineRule="auto"/>
      <w:ind w:left="440"/>
    </w:pPr>
    <w:rPr>
      <w:rFonts w:ascii="Calibri" w:hAnsi="Calibri"/>
      <w:sz w:val="22"/>
      <w:szCs w:val="22"/>
    </w:rPr>
  </w:style>
  <w:style w:type="paragraph" w:styleId="BalloonText">
    <w:name w:val="Balloon Text"/>
    <w:basedOn w:val="Normal"/>
    <w:qFormat/>
    <w:rPr>
      <w:rFonts w:ascii="Tahoma" w:hAnsi="Tahoma" w:cs="Tahoma"/>
      <w:sz w:val="16"/>
      <w:szCs w:val="16"/>
    </w:rPr>
  </w:style>
  <w:style w:type="paragraph" w:styleId="TableofFigures">
    <w:name w:val="table of figures"/>
    <w:basedOn w:val="Normal"/>
    <w:next w:val="Normal"/>
    <w:qFormat/>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customStyle="1" w:styleId="WW-Default">
    <w:name w:val="WW-Default"/>
    <w:qFormat/>
    <w:pPr>
      <w:widowControl w:val="0"/>
      <w:autoSpaceDE w:val="0"/>
    </w:pPr>
    <w:rPr>
      <w:rFonts w:ascii="Arial" w:eastAsia="Times New Roman" w:hAnsi="Arial" w:cs="Arial"/>
      <w:color w:val="000000"/>
      <w:lang w:bidi="ar-SA"/>
    </w:rPr>
  </w:style>
  <w:style w:type="paragraph" w:styleId="TOC4">
    <w:name w:val="toc 4"/>
    <w:basedOn w:val="Index"/>
    <w:pPr>
      <w:tabs>
        <w:tab w:val="right" w:leader="dot" w:pos="9123"/>
      </w:tabs>
      <w:ind w:left="849"/>
    </w:pPr>
  </w:style>
  <w:style w:type="paragraph" w:styleId="TOC5">
    <w:name w:val="toc 5"/>
    <w:basedOn w:val="Index"/>
    <w:pPr>
      <w:tabs>
        <w:tab w:val="right" w:leader="dot" w:pos="8840"/>
      </w:tabs>
      <w:ind w:left="1132"/>
    </w:pPr>
  </w:style>
  <w:style w:type="paragraph" w:styleId="TOC6">
    <w:name w:val="toc 6"/>
    <w:basedOn w:val="Index"/>
    <w:pPr>
      <w:tabs>
        <w:tab w:val="right" w:leader="dot" w:pos="8557"/>
      </w:tabs>
      <w:ind w:left="1415"/>
    </w:pPr>
  </w:style>
  <w:style w:type="paragraph" w:styleId="TOC7">
    <w:name w:val="toc 7"/>
    <w:basedOn w:val="Index"/>
    <w:pPr>
      <w:tabs>
        <w:tab w:val="right" w:leader="dot" w:pos="8274"/>
      </w:tabs>
      <w:ind w:left="1698"/>
    </w:pPr>
  </w:style>
  <w:style w:type="paragraph" w:styleId="TOC8">
    <w:name w:val="toc 8"/>
    <w:basedOn w:val="Index"/>
    <w:pPr>
      <w:tabs>
        <w:tab w:val="right" w:leader="dot" w:pos="7991"/>
      </w:tabs>
      <w:ind w:left="1981"/>
    </w:pPr>
  </w:style>
  <w:style w:type="paragraph" w:styleId="TOC9">
    <w:name w:val="toc 9"/>
    <w:basedOn w:val="Index"/>
    <w:pPr>
      <w:tabs>
        <w:tab w:val="right" w:leader="dot" w:pos="7708"/>
      </w:tabs>
      <w:ind w:left="2264"/>
    </w:pPr>
  </w:style>
  <w:style w:type="paragraph" w:customStyle="1" w:styleId="Contents10">
    <w:name w:val="Contents 10"/>
    <w:basedOn w:val="Index"/>
    <w:qFormat/>
    <w:pPr>
      <w:tabs>
        <w:tab w:val="right" w:leader="dot" w:pos="7425"/>
      </w:tabs>
      <w:ind w:left="2547"/>
    </w:pPr>
  </w:style>
  <w:style w:type="paragraph" w:styleId="BodyTextFirstIndent">
    <w:name w:val="Body Text First Indent"/>
    <w:basedOn w:val="BodyText"/>
    <w:pPr>
      <w:ind w:firstLine="283"/>
    </w:pPr>
  </w:style>
  <w:style w:type="paragraph" w:customStyle="1" w:styleId="Text">
    <w:name w:val="Text"/>
    <w:basedOn w:val="Caption"/>
    <w:qFormat/>
  </w:style>
  <w:style w:type="numbering" w:customStyle="1" w:styleId="WW8Num1">
    <w:name w:val="WW8Num1"/>
    <w:qFormat/>
  </w:style>
  <w:style w:type="character" w:customStyle="1" w:styleId="Heading3Char">
    <w:name w:val="Heading 3 Char"/>
    <w:basedOn w:val="DefaultParagraphFont"/>
    <w:link w:val="Heading3"/>
    <w:uiPriority w:val="9"/>
    <w:rsid w:val="00507E90"/>
    <w:rPr>
      <w:rFonts w:ascii="Arial" w:eastAsia="Times New Roman" w:hAnsi="Arial" w:cs="Times New Roman"/>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8126">
      <w:bodyDiv w:val="1"/>
      <w:marLeft w:val="0"/>
      <w:marRight w:val="0"/>
      <w:marTop w:val="0"/>
      <w:marBottom w:val="0"/>
      <w:divBdr>
        <w:top w:val="none" w:sz="0" w:space="0" w:color="auto"/>
        <w:left w:val="none" w:sz="0" w:space="0" w:color="auto"/>
        <w:bottom w:val="none" w:sz="0" w:space="0" w:color="auto"/>
        <w:right w:val="none" w:sz="0" w:space="0" w:color="auto"/>
      </w:divBdr>
    </w:div>
    <w:div w:id="1728843845">
      <w:bodyDiv w:val="1"/>
      <w:marLeft w:val="0"/>
      <w:marRight w:val="0"/>
      <w:marTop w:val="0"/>
      <w:marBottom w:val="0"/>
      <w:divBdr>
        <w:top w:val="none" w:sz="0" w:space="0" w:color="auto"/>
        <w:left w:val="none" w:sz="0" w:space="0" w:color="auto"/>
        <w:bottom w:val="none" w:sz="0" w:space="0" w:color="auto"/>
        <w:right w:val="none" w:sz="0" w:space="0" w:color="auto"/>
      </w:divBdr>
      <w:divsChild>
        <w:div w:id="258802991">
          <w:marLeft w:val="0"/>
          <w:marRight w:val="0"/>
          <w:marTop w:val="0"/>
          <w:marBottom w:val="0"/>
          <w:divBdr>
            <w:top w:val="none" w:sz="0" w:space="0" w:color="auto"/>
            <w:left w:val="none" w:sz="0" w:space="0" w:color="auto"/>
            <w:bottom w:val="none" w:sz="0" w:space="0" w:color="auto"/>
            <w:right w:val="none" w:sz="0" w:space="0" w:color="auto"/>
          </w:divBdr>
        </w:div>
        <w:div w:id="1065957576">
          <w:marLeft w:val="0"/>
          <w:marRight w:val="0"/>
          <w:marTop w:val="0"/>
          <w:marBottom w:val="0"/>
          <w:divBdr>
            <w:top w:val="none" w:sz="0" w:space="0" w:color="auto"/>
            <w:left w:val="none" w:sz="0" w:space="0" w:color="auto"/>
            <w:bottom w:val="none" w:sz="0" w:space="0" w:color="auto"/>
            <w:right w:val="none" w:sz="0" w:space="0" w:color="auto"/>
          </w:divBdr>
          <w:divsChild>
            <w:div w:id="431903645">
              <w:marLeft w:val="0"/>
              <w:marRight w:val="0"/>
              <w:marTop w:val="0"/>
              <w:marBottom w:val="0"/>
              <w:divBdr>
                <w:top w:val="none" w:sz="0" w:space="0" w:color="auto"/>
                <w:left w:val="none" w:sz="0" w:space="0" w:color="auto"/>
                <w:bottom w:val="none" w:sz="0" w:space="0" w:color="auto"/>
                <w:right w:val="none" w:sz="0" w:space="0" w:color="auto"/>
              </w:divBdr>
              <w:divsChild>
                <w:div w:id="524490194">
                  <w:marLeft w:val="0"/>
                  <w:marRight w:val="0"/>
                  <w:marTop w:val="0"/>
                  <w:marBottom w:val="0"/>
                  <w:divBdr>
                    <w:top w:val="none" w:sz="0" w:space="0" w:color="auto"/>
                    <w:left w:val="none" w:sz="0" w:space="0" w:color="auto"/>
                    <w:bottom w:val="none" w:sz="0" w:space="0" w:color="auto"/>
                    <w:right w:val="none" w:sz="0" w:space="0" w:color="auto"/>
                  </w:divBdr>
                  <w:divsChild>
                    <w:div w:id="149436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18" Type="http://schemas.openxmlformats.org/officeDocument/2006/relationships/header" Target="header4.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eader" Target="header1.xml"/><Relationship Id="rId12" Type="http://schemas.microsoft.com/office/2016/09/relationships/commentsIds" Target="commentsIds.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1129</TotalTime>
  <Pages>14</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FULL TITLE HERE IN ALL CAPS IN A FORMAT</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TITLE HERE IN ALL CAPS IN A FORMAT</dc:title>
  <dc:subject/>
  <dc:creator>maxwedc</dc:creator>
  <dc:description/>
  <cp:lastModifiedBy>Sierra Schmidt</cp:lastModifiedBy>
  <cp:revision>19</cp:revision>
  <cp:lastPrinted>2011-09-07T10:49:00Z</cp:lastPrinted>
  <dcterms:created xsi:type="dcterms:W3CDTF">2023-01-05T20:13:00Z</dcterms:created>
  <dcterms:modified xsi:type="dcterms:W3CDTF">2023-08-17T04:31:00Z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id="ClW6zIoC"/&gt;&lt;style id="http://www.zotero.org/styles/apa" locale="en-US" hasBibliography="1" bibliographyStyleHasBeenSet="0"/&gt;&lt;prefs&gt;&lt;pref name="fieldType" value="Field"/&gt;&lt;/prefs&gt;&lt;/data&gt;</vt:lpwstr>
  </property>
</Properties>
</file>