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DA5AAF" w14:textId="701B6397" w:rsidR="007C7FE6" w:rsidRPr="00671685" w:rsidRDefault="007C7FE6" w:rsidP="007C7FE6">
      <w:pPr>
        <w:spacing w:line="480" w:lineRule="auto"/>
        <w:ind w:left="1260" w:right="1242"/>
        <w:jc w:val="center"/>
        <w:rPr>
          <w:bCs/>
        </w:rPr>
      </w:pPr>
      <w:r w:rsidRPr="00671685">
        <w:rPr>
          <w:bCs/>
        </w:rPr>
        <w:t xml:space="preserve">EXAMINING THE REGULATION OF THE BS21 HOMOLOGS </w:t>
      </w:r>
    </w:p>
    <w:p w14:paraId="4A8CA53A" w14:textId="0C7826C8" w:rsidR="007C7FE6" w:rsidRPr="00671685" w:rsidRDefault="007C7FE6" w:rsidP="007C7FE6">
      <w:pPr>
        <w:spacing w:line="480" w:lineRule="auto"/>
        <w:ind w:left="1260" w:right="1242"/>
        <w:jc w:val="center"/>
        <w:rPr>
          <w:bCs/>
        </w:rPr>
      </w:pPr>
      <w:r w:rsidRPr="00671685">
        <w:rPr>
          <w:bCs/>
        </w:rPr>
        <w:t xml:space="preserve">IN </w:t>
      </w:r>
      <w:r w:rsidRPr="00671685">
        <w:rPr>
          <w:bCs/>
          <w:i/>
          <w:iCs/>
        </w:rPr>
        <w:t>FRANCISELLA TULARENSIS</w:t>
      </w:r>
      <w:r w:rsidRPr="00671685">
        <w:rPr>
          <w:bCs/>
        </w:rPr>
        <w:t xml:space="preserve"> </w:t>
      </w:r>
    </w:p>
    <w:p w14:paraId="10AB7FF5" w14:textId="77777777" w:rsidR="007C7FE6" w:rsidRPr="00671685" w:rsidRDefault="007C7FE6" w:rsidP="007C7FE6">
      <w:pPr>
        <w:spacing w:line="480" w:lineRule="auto"/>
        <w:jc w:val="center"/>
        <w:rPr>
          <w:bCs/>
        </w:rPr>
      </w:pPr>
      <w:r w:rsidRPr="00671685">
        <w:rPr>
          <w:bCs/>
        </w:rPr>
        <w:t>BY</w:t>
      </w:r>
    </w:p>
    <w:p w14:paraId="1E58A456" w14:textId="555A759C" w:rsidR="007C7FE6" w:rsidRPr="00671685" w:rsidRDefault="007C7FE6" w:rsidP="007C7FE6">
      <w:pPr>
        <w:spacing w:line="480" w:lineRule="auto"/>
        <w:jc w:val="center"/>
        <w:rPr>
          <w:bCs/>
        </w:rPr>
      </w:pPr>
      <w:r w:rsidRPr="00671685">
        <w:rPr>
          <w:bCs/>
        </w:rPr>
        <w:t>SIERRA SCHMIDT</w:t>
      </w:r>
    </w:p>
    <w:p w14:paraId="49A531E9" w14:textId="77777777" w:rsidR="007C7FE6" w:rsidRPr="00671685" w:rsidRDefault="007C7FE6" w:rsidP="007C7FE6">
      <w:pPr>
        <w:spacing w:line="480" w:lineRule="auto"/>
        <w:jc w:val="center"/>
        <w:rPr>
          <w:bCs/>
        </w:rPr>
      </w:pPr>
    </w:p>
    <w:p w14:paraId="61789A19" w14:textId="77777777" w:rsidR="007C7FE6" w:rsidRPr="00671685" w:rsidRDefault="007C7FE6" w:rsidP="007C7FE6">
      <w:pPr>
        <w:spacing w:line="480" w:lineRule="auto"/>
        <w:rPr>
          <w:bCs/>
        </w:rPr>
      </w:pPr>
    </w:p>
    <w:p w14:paraId="6ABCA4D8" w14:textId="77777777" w:rsidR="007C7FE6" w:rsidRPr="00671685" w:rsidRDefault="007C7FE6" w:rsidP="007C7FE6">
      <w:pPr>
        <w:spacing w:line="480" w:lineRule="auto"/>
        <w:rPr>
          <w:bCs/>
        </w:rPr>
      </w:pPr>
    </w:p>
    <w:p w14:paraId="620CE4A8" w14:textId="77777777" w:rsidR="007C7FE6" w:rsidRPr="00671685" w:rsidRDefault="007C7FE6" w:rsidP="007C7FE6">
      <w:pPr>
        <w:spacing w:line="480" w:lineRule="auto"/>
        <w:rPr>
          <w:bCs/>
        </w:rPr>
      </w:pPr>
    </w:p>
    <w:p w14:paraId="23ACFA58" w14:textId="39E8BD3C" w:rsidR="007C7FE6" w:rsidRPr="00671685" w:rsidRDefault="007C7FE6" w:rsidP="007C7FE6">
      <w:pPr>
        <w:spacing w:line="480" w:lineRule="auto"/>
        <w:jc w:val="center"/>
        <w:rPr>
          <w:bCs/>
        </w:rPr>
      </w:pPr>
      <w:r w:rsidRPr="00671685">
        <w:rPr>
          <w:bCs/>
        </w:rPr>
        <w:t>A THESIS SUBMITTED IN PARTIAL FULFILLMENT OF THE</w:t>
      </w:r>
    </w:p>
    <w:p w14:paraId="3E0CB85E" w14:textId="77777777" w:rsidR="007C7FE6" w:rsidRPr="00671685" w:rsidRDefault="007C7FE6" w:rsidP="007C7FE6">
      <w:pPr>
        <w:spacing w:line="480" w:lineRule="auto"/>
        <w:jc w:val="center"/>
        <w:rPr>
          <w:bCs/>
        </w:rPr>
      </w:pPr>
      <w:r w:rsidRPr="00671685">
        <w:rPr>
          <w:bCs/>
        </w:rPr>
        <w:t>REQUIREMENTS FOR THE DEGREE OF</w:t>
      </w:r>
    </w:p>
    <w:p w14:paraId="0909C30C" w14:textId="440CBDDC" w:rsidR="007C7FE6" w:rsidRPr="00671685" w:rsidRDefault="007C7FE6" w:rsidP="007C7FE6">
      <w:pPr>
        <w:spacing w:line="480" w:lineRule="auto"/>
        <w:jc w:val="center"/>
        <w:rPr>
          <w:bCs/>
        </w:rPr>
      </w:pPr>
      <w:r w:rsidRPr="00671685">
        <w:rPr>
          <w:bCs/>
        </w:rPr>
        <w:t>MASTER OF SCIENCE</w:t>
      </w:r>
    </w:p>
    <w:p w14:paraId="568C4F1E" w14:textId="77777777" w:rsidR="007C7FE6" w:rsidRPr="00671685" w:rsidRDefault="007C7FE6" w:rsidP="007C7FE6">
      <w:pPr>
        <w:spacing w:line="480" w:lineRule="auto"/>
        <w:jc w:val="center"/>
        <w:rPr>
          <w:bCs/>
        </w:rPr>
      </w:pPr>
      <w:r w:rsidRPr="00671685">
        <w:rPr>
          <w:bCs/>
        </w:rPr>
        <w:t>IN</w:t>
      </w:r>
    </w:p>
    <w:p w14:paraId="5FC40EBC" w14:textId="256DAA4A" w:rsidR="007C7FE6" w:rsidRPr="00671685" w:rsidRDefault="007C7FE6" w:rsidP="007C7FE6">
      <w:pPr>
        <w:spacing w:line="480" w:lineRule="auto"/>
        <w:jc w:val="center"/>
        <w:rPr>
          <w:bCs/>
        </w:rPr>
      </w:pPr>
      <w:r w:rsidRPr="00671685">
        <w:rPr>
          <w:bCs/>
        </w:rPr>
        <w:t>CELL AND MOLECULAR BIOLOGY</w:t>
      </w:r>
    </w:p>
    <w:p w14:paraId="7F761E28" w14:textId="77777777" w:rsidR="007C7FE6" w:rsidRPr="00671685" w:rsidRDefault="007C7FE6" w:rsidP="007C7FE6">
      <w:pPr>
        <w:spacing w:line="480" w:lineRule="auto"/>
        <w:rPr>
          <w:bCs/>
        </w:rPr>
      </w:pPr>
    </w:p>
    <w:p w14:paraId="716FD8E4" w14:textId="77777777" w:rsidR="007C7FE6" w:rsidRPr="00671685" w:rsidRDefault="007C7FE6" w:rsidP="007C7FE6">
      <w:pPr>
        <w:spacing w:line="480" w:lineRule="auto"/>
        <w:rPr>
          <w:bCs/>
        </w:rPr>
      </w:pPr>
    </w:p>
    <w:p w14:paraId="6AE0A67A" w14:textId="77777777" w:rsidR="007C7FE6" w:rsidRPr="00671685" w:rsidRDefault="007C7FE6" w:rsidP="007C7FE6">
      <w:pPr>
        <w:spacing w:line="480" w:lineRule="auto"/>
        <w:rPr>
          <w:bCs/>
        </w:rPr>
      </w:pPr>
    </w:p>
    <w:p w14:paraId="475F75B4" w14:textId="77777777" w:rsidR="007C7FE6" w:rsidRPr="00671685" w:rsidRDefault="007C7FE6" w:rsidP="007C7FE6">
      <w:pPr>
        <w:spacing w:line="480" w:lineRule="auto"/>
        <w:rPr>
          <w:bCs/>
        </w:rPr>
      </w:pPr>
    </w:p>
    <w:p w14:paraId="34335D12" w14:textId="77777777" w:rsidR="007C7FE6" w:rsidRPr="00671685" w:rsidRDefault="007C7FE6" w:rsidP="007C7FE6">
      <w:pPr>
        <w:spacing w:line="480" w:lineRule="auto"/>
        <w:rPr>
          <w:bCs/>
        </w:rPr>
      </w:pPr>
    </w:p>
    <w:p w14:paraId="31865DD9" w14:textId="77777777" w:rsidR="007C7FE6" w:rsidRPr="00671685" w:rsidRDefault="007C7FE6" w:rsidP="007C7FE6">
      <w:pPr>
        <w:spacing w:line="480" w:lineRule="auto"/>
        <w:jc w:val="center"/>
        <w:rPr>
          <w:bCs/>
        </w:rPr>
      </w:pPr>
      <w:r w:rsidRPr="00671685">
        <w:rPr>
          <w:bCs/>
        </w:rPr>
        <w:t>UNIVERSITY OF RHODE ISLAND</w:t>
      </w:r>
    </w:p>
    <w:p w14:paraId="1E2AF5DD" w14:textId="1C76DB86" w:rsidR="007C7FE6" w:rsidRPr="00671685" w:rsidRDefault="007C7FE6" w:rsidP="007C7FE6">
      <w:pPr>
        <w:spacing w:line="480" w:lineRule="auto"/>
        <w:jc w:val="center"/>
        <w:rPr>
          <w:bCs/>
        </w:rPr>
      </w:pPr>
      <w:r w:rsidRPr="00671685">
        <w:rPr>
          <w:bCs/>
        </w:rPr>
        <w:t>2023</w:t>
      </w:r>
    </w:p>
    <w:p w14:paraId="79AF91AA" w14:textId="77777777" w:rsidR="007C7FE6" w:rsidRPr="00671685" w:rsidRDefault="007C7FE6" w:rsidP="007C7FE6">
      <w:pPr>
        <w:spacing w:line="480" w:lineRule="auto"/>
        <w:jc w:val="center"/>
        <w:rPr>
          <w:bCs/>
        </w:rPr>
      </w:pPr>
    </w:p>
    <w:p w14:paraId="03DF95F3" w14:textId="77777777" w:rsidR="007C7FE6" w:rsidRPr="00671685" w:rsidRDefault="007C7FE6" w:rsidP="007C7FE6">
      <w:pPr>
        <w:spacing w:line="480" w:lineRule="auto"/>
        <w:jc w:val="center"/>
        <w:rPr>
          <w:bCs/>
        </w:rPr>
      </w:pPr>
    </w:p>
    <w:p w14:paraId="1574AF0E" w14:textId="5EF93A35" w:rsidR="002F7F7A" w:rsidRPr="00671685" w:rsidRDefault="00000000" w:rsidP="007C7FE6">
      <w:pPr>
        <w:spacing w:line="480" w:lineRule="auto"/>
        <w:jc w:val="center"/>
      </w:pPr>
      <w:r w:rsidRPr="00671685">
        <w:lastRenderedPageBreak/>
        <w:t xml:space="preserve">MASTER OF </w:t>
      </w:r>
      <w:r w:rsidR="00F74F60" w:rsidRPr="00671685">
        <w:rPr>
          <w:iCs/>
        </w:rPr>
        <w:t>SCIENCE</w:t>
      </w:r>
      <w:r w:rsidRPr="00671685">
        <w:t xml:space="preserve"> </w:t>
      </w:r>
      <w:r w:rsidR="007C7FE6" w:rsidRPr="00671685">
        <w:t xml:space="preserve">IN CELL AND MOLECULAR BIOLOGY </w:t>
      </w:r>
      <w:r w:rsidRPr="00671685">
        <w:t>THESIS</w:t>
      </w:r>
    </w:p>
    <w:p w14:paraId="386C58F8" w14:textId="77777777" w:rsidR="002F7F7A" w:rsidRPr="00671685" w:rsidRDefault="002F7F7A"/>
    <w:p w14:paraId="2F9DF45E" w14:textId="77777777" w:rsidR="002F7F7A" w:rsidRPr="00671685" w:rsidRDefault="00000000">
      <w:pPr>
        <w:jc w:val="center"/>
      </w:pPr>
      <w:r w:rsidRPr="00671685">
        <w:t>OF</w:t>
      </w:r>
    </w:p>
    <w:p w14:paraId="59B47E8F" w14:textId="77777777" w:rsidR="002F7F7A" w:rsidRPr="00671685" w:rsidRDefault="002F7F7A"/>
    <w:p w14:paraId="7C680791" w14:textId="01A7F188" w:rsidR="002F7F7A" w:rsidRPr="00671685" w:rsidRDefault="00F74F60">
      <w:pPr>
        <w:jc w:val="center"/>
        <w:rPr>
          <w:iCs/>
        </w:rPr>
      </w:pPr>
      <w:r w:rsidRPr="00671685">
        <w:rPr>
          <w:iCs/>
        </w:rPr>
        <w:t>SIERRA SCHMIDT</w:t>
      </w:r>
    </w:p>
    <w:p w14:paraId="3DF73ACA" w14:textId="77777777" w:rsidR="002F7F7A" w:rsidRPr="00671685" w:rsidRDefault="002F7F7A"/>
    <w:p w14:paraId="50972DA0" w14:textId="77777777" w:rsidR="002F7F7A" w:rsidRPr="00671685" w:rsidRDefault="002F7F7A"/>
    <w:p w14:paraId="52BE2F96" w14:textId="77777777" w:rsidR="002F7F7A" w:rsidRPr="00671685" w:rsidRDefault="002F7F7A"/>
    <w:p w14:paraId="65346CE0" w14:textId="77777777" w:rsidR="002F7F7A" w:rsidRPr="00671685" w:rsidRDefault="002F7F7A"/>
    <w:p w14:paraId="2741AFFC" w14:textId="77777777" w:rsidR="002F7F7A" w:rsidRPr="00671685" w:rsidRDefault="002F7F7A"/>
    <w:p w14:paraId="1E090B86" w14:textId="77777777" w:rsidR="002F7F7A" w:rsidRPr="00671685" w:rsidRDefault="002F7F7A"/>
    <w:p w14:paraId="5C0BD743" w14:textId="77777777" w:rsidR="002F7F7A" w:rsidRPr="00671685" w:rsidRDefault="002F7F7A"/>
    <w:p w14:paraId="4D4E1F66" w14:textId="77777777" w:rsidR="002F7F7A" w:rsidRPr="00671685" w:rsidRDefault="002F7F7A"/>
    <w:p w14:paraId="491761C6" w14:textId="77777777" w:rsidR="002F7F7A" w:rsidRPr="00671685" w:rsidRDefault="002F7F7A"/>
    <w:p w14:paraId="210EBAFA" w14:textId="77777777" w:rsidR="002F7F7A" w:rsidRPr="00671685" w:rsidRDefault="002F7F7A"/>
    <w:p w14:paraId="4D27DEB0" w14:textId="77777777" w:rsidR="002F7F7A" w:rsidRPr="00671685" w:rsidRDefault="002F7F7A"/>
    <w:p w14:paraId="0D96E5ED" w14:textId="77777777" w:rsidR="002F7F7A" w:rsidRPr="00671685" w:rsidRDefault="00000000">
      <w:pPr>
        <w:ind w:left="720" w:firstLine="720"/>
      </w:pPr>
      <w:r w:rsidRPr="00671685">
        <w:t xml:space="preserve">APPROVED: </w:t>
      </w:r>
    </w:p>
    <w:p w14:paraId="70FF5C5C" w14:textId="77777777" w:rsidR="002F7F7A" w:rsidRPr="00671685" w:rsidRDefault="002F7F7A"/>
    <w:p w14:paraId="0F871628" w14:textId="77777777" w:rsidR="002F7F7A" w:rsidRPr="00671685" w:rsidRDefault="00000000">
      <w:pPr>
        <w:ind w:left="1440" w:firstLine="720"/>
      </w:pPr>
      <w:r w:rsidRPr="00671685">
        <w:t>Thesis Committee:</w:t>
      </w:r>
    </w:p>
    <w:p w14:paraId="4C69C330" w14:textId="77777777" w:rsidR="002F7F7A" w:rsidRPr="00671685" w:rsidRDefault="002F7F7A"/>
    <w:p w14:paraId="1071ED4B" w14:textId="107E4617" w:rsidR="002F7F7A" w:rsidRPr="00671685" w:rsidRDefault="00000000">
      <w:pPr>
        <w:ind w:left="2160"/>
      </w:pPr>
      <w:r w:rsidRPr="00671685">
        <w:t>Major Professor</w:t>
      </w:r>
      <w:r w:rsidRPr="00671685">
        <w:tab/>
      </w:r>
      <w:r w:rsidR="007C7FE6" w:rsidRPr="00671685">
        <w:t>Kathryn Ramsey</w:t>
      </w:r>
    </w:p>
    <w:p w14:paraId="7DA91C73" w14:textId="77777777" w:rsidR="002F7F7A" w:rsidRPr="00671685" w:rsidRDefault="002F7F7A">
      <w:pPr>
        <w:ind w:left="2160"/>
      </w:pPr>
    </w:p>
    <w:p w14:paraId="5BB56F8C" w14:textId="0720A392" w:rsidR="002F7F7A" w:rsidRPr="00671685" w:rsidRDefault="00000000">
      <w:pPr>
        <w:ind w:left="2160"/>
      </w:pPr>
      <w:r w:rsidRPr="00671685">
        <w:tab/>
      </w:r>
      <w:r w:rsidRPr="00671685">
        <w:tab/>
      </w:r>
      <w:r w:rsidRPr="00671685">
        <w:tab/>
      </w:r>
      <w:r w:rsidR="007C7FE6" w:rsidRPr="00671685">
        <w:t>Steven Gregory</w:t>
      </w:r>
    </w:p>
    <w:p w14:paraId="5A852CCB" w14:textId="77777777" w:rsidR="002F7F7A" w:rsidRPr="00671685" w:rsidRDefault="002F7F7A">
      <w:pPr>
        <w:ind w:left="2160"/>
      </w:pPr>
    </w:p>
    <w:p w14:paraId="421446E8" w14:textId="4D805C44" w:rsidR="002F7F7A" w:rsidRPr="00671685" w:rsidRDefault="00000000">
      <w:pPr>
        <w:ind w:left="2160"/>
      </w:pPr>
      <w:r w:rsidRPr="00671685">
        <w:tab/>
      </w:r>
      <w:r w:rsidRPr="00671685">
        <w:tab/>
      </w:r>
      <w:r w:rsidRPr="00671685">
        <w:tab/>
      </w:r>
      <w:r w:rsidR="007C7FE6" w:rsidRPr="00671685">
        <w:t>David Rowley</w:t>
      </w:r>
    </w:p>
    <w:p w14:paraId="1EF0FFFC" w14:textId="77777777" w:rsidR="002F7F7A" w:rsidRPr="00671685" w:rsidRDefault="002F7F7A">
      <w:pPr>
        <w:ind w:left="2160"/>
      </w:pPr>
    </w:p>
    <w:p w14:paraId="1E9927E3" w14:textId="50608C58" w:rsidR="002F7F7A" w:rsidRPr="00671685" w:rsidRDefault="00000000">
      <w:pPr>
        <w:ind w:left="2160"/>
      </w:pPr>
      <w:r w:rsidRPr="00671685">
        <w:tab/>
      </w:r>
      <w:r w:rsidRPr="00671685">
        <w:tab/>
      </w:r>
      <w:r w:rsidRPr="00671685">
        <w:tab/>
      </w:r>
    </w:p>
    <w:p w14:paraId="749BF1EC" w14:textId="77777777" w:rsidR="002F7F7A" w:rsidRPr="00671685" w:rsidRDefault="00000000">
      <w:pPr>
        <w:ind w:left="3600"/>
      </w:pPr>
      <w:r w:rsidRPr="00671685">
        <w:t xml:space="preserve">  </w:t>
      </w:r>
      <w:r w:rsidRPr="00671685">
        <w:tab/>
      </w:r>
    </w:p>
    <w:p w14:paraId="1D9CEF5C" w14:textId="77777777" w:rsidR="002F7F7A" w:rsidRPr="00671685" w:rsidRDefault="00000000">
      <w:r w:rsidRPr="00671685">
        <w:tab/>
      </w:r>
      <w:r w:rsidRPr="00671685">
        <w:tab/>
      </w:r>
      <w:r w:rsidRPr="00671685">
        <w:tab/>
      </w:r>
      <w:r w:rsidRPr="00671685">
        <w:tab/>
      </w:r>
      <w:r w:rsidRPr="00671685">
        <w:tab/>
      </w:r>
      <w:r w:rsidRPr="00671685">
        <w:tab/>
        <w:t>Brenton DeBoef</w:t>
      </w:r>
    </w:p>
    <w:p w14:paraId="28976361" w14:textId="77777777" w:rsidR="002F7F7A" w:rsidRPr="00671685" w:rsidRDefault="00000000">
      <w:pPr>
        <w:ind w:left="2880" w:right="-720" w:firstLine="720"/>
      </w:pPr>
      <w:r w:rsidRPr="00671685">
        <w:t xml:space="preserve">  DEAN OF THE GRADUATE SCHOOL</w:t>
      </w:r>
    </w:p>
    <w:p w14:paraId="52CC5A9A" w14:textId="77777777" w:rsidR="002F7F7A" w:rsidRPr="00671685" w:rsidRDefault="002F7F7A">
      <w:pPr>
        <w:ind w:right="-720"/>
      </w:pPr>
    </w:p>
    <w:p w14:paraId="04BCA209" w14:textId="77777777" w:rsidR="002F7F7A" w:rsidRPr="00671685" w:rsidRDefault="002F7F7A">
      <w:pPr>
        <w:ind w:right="-720"/>
      </w:pPr>
    </w:p>
    <w:p w14:paraId="53A0EFD0" w14:textId="77777777" w:rsidR="002F7F7A" w:rsidRPr="00671685" w:rsidRDefault="002F7F7A">
      <w:pPr>
        <w:ind w:right="-720"/>
      </w:pPr>
    </w:p>
    <w:p w14:paraId="601CCF69" w14:textId="77777777" w:rsidR="002F7F7A" w:rsidRPr="00671685" w:rsidRDefault="002F7F7A">
      <w:pPr>
        <w:ind w:right="-720"/>
      </w:pPr>
    </w:p>
    <w:p w14:paraId="4C4DC89C" w14:textId="77777777" w:rsidR="002F7F7A" w:rsidRPr="00671685" w:rsidRDefault="002F7F7A">
      <w:pPr>
        <w:ind w:right="-720"/>
      </w:pPr>
    </w:p>
    <w:p w14:paraId="5F15DDDD" w14:textId="77777777" w:rsidR="002F7F7A" w:rsidRPr="00671685" w:rsidRDefault="002F7F7A">
      <w:pPr>
        <w:ind w:right="-720"/>
      </w:pPr>
    </w:p>
    <w:p w14:paraId="64ED5547" w14:textId="77777777" w:rsidR="002F7F7A" w:rsidRPr="00671685" w:rsidRDefault="002F7F7A">
      <w:pPr>
        <w:ind w:right="-720"/>
      </w:pPr>
    </w:p>
    <w:p w14:paraId="7FED7781" w14:textId="77777777" w:rsidR="002F7F7A" w:rsidRPr="00671685" w:rsidRDefault="00000000">
      <w:pPr>
        <w:ind w:right="-720"/>
        <w:jc w:val="center"/>
        <w:rPr>
          <w:iCs/>
        </w:rPr>
      </w:pPr>
      <w:r w:rsidRPr="00671685">
        <w:t>UNIVERSITY OF RHODE ISLAND</w:t>
      </w:r>
    </w:p>
    <w:p w14:paraId="4E40C7EB" w14:textId="2014BAA3" w:rsidR="002F7F7A" w:rsidRPr="00671685" w:rsidRDefault="00F74F60" w:rsidP="0018004C">
      <w:pPr>
        <w:ind w:right="-720"/>
        <w:jc w:val="center"/>
        <w:rPr>
          <w:iCs/>
        </w:rPr>
        <w:sectPr w:rsidR="002F7F7A" w:rsidRPr="00671685">
          <w:pgSz w:w="12240" w:h="15840"/>
          <w:pgMar w:top="1440" w:right="1440" w:bottom="1440" w:left="2160" w:header="0" w:footer="0" w:gutter="0"/>
          <w:cols w:space="720"/>
          <w:formProt w:val="0"/>
          <w:docGrid w:linePitch="600" w:charSpace="32768"/>
        </w:sectPr>
      </w:pPr>
      <w:r w:rsidRPr="00671685">
        <w:rPr>
          <w:iCs/>
        </w:rPr>
        <w:t>202</w:t>
      </w:r>
      <w:r w:rsidR="0018004C" w:rsidRPr="00671685">
        <w:rPr>
          <w:iCs/>
        </w:rPr>
        <w:t>3</w:t>
      </w:r>
    </w:p>
    <w:p w14:paraId="2664016E" w14:textId="77777777" w:rsidR="002F7F7A" w:rsidRPr="00671685" w:rsidRDefault="00000000">
      <w:pPr>
        <w:pStyle w:val="Title"/>
        <w:rPr>
          <w:b/>
        </w:rPr>
      </w:pPr>
      <w:bookmarkStart w:id="0" w:name="__RefHeading___Toc235935194"/>
      <w:bookmarkEnd w:id="0"/>
      <w:r w:rsidRPr="00671685">
        <w:rPr>
          <w:b/>
        </w:rPr>
        <w:lastRenderedPageBreak/>
        <w:t>TABLE OF CONTENTS</w:t>
      </w:r>
    </w:p>
    <w:p w14:paraId="6597AD07" w14:textId="77777777" w:rsidR="002F7F7A" w:rsidRPr="00671685" w:rsidRDefault="002F7F7A">
      <w:pPr>
        <w:pStyle w:val="Title"/>
      </w:pPr>
    </w:p>
    <w:p w14:paraId="06D5DE1B" w14:textId="77777777" w:rsidR="002F7F7A" w:rsidRPr="00671685" w:rsidRDefault="00000000">
      <w:pPr>
        <w:pStyle w:val="Title"/>
        <w:jc w:val="left"/>
      </w:pPr>
      <w:r w:rsidRPr="00671685">
        <w:tab/>
      </w:r>
      <w:r w:rsidRPr="00671685">
        <w:tab/>
      </w:r>
      <w:r w:rsidRPr="00671685">
        <w:tab/>
      </w:r>
      <w:r w:rsidRPr="00671685">
        <w:tab/>
      </w:r>
      <w:r w:rsidRPr="00671685">
        <w:tab/>
      </w:r>
      <w:r w:rsidRPr="00671685">
        <w:tab/>
      </w:r>
      <w:r w:rsidRPr="00671685">
        <w:tab/>
      </w:r>
      <w:r w:rsidRPr="00671685">
        <w:tab/>
      </w:r>
      <w:r w:rsidRPr="00671685">
        <w:tab/>
      </w:r>
      <w:r w:rsidRPr="00671685">
        <w:tab/>
      </w:r>
    </w:p>
    <w:sdt>
      <w:sdtPr>
        <w:id w:val="-425963363"/>
        <w:docPartObj>
          <w:docPartGallery w:val="Table of Contents"/>
          <w:docPartUnique/>
        </w:docPartObj>
      </w:sdtPr>
      <w:sdtContent>
        <w:p w14:paraId="7B4C90AA" w14:textId="70E6FE53" w:rsidR="00967B82" w:rsidRDefault="00000000">
          <w:pPr>
            <w:pStyle w:val="TOC1"/>
            <w:rPr>
              <w:rFonts w:asciiTheme="minorHAnsi" w:eastAsiaTheme="minorEastAsia" w:hAnsiTheme="minorHAnsi" w:cstheme="minorBidi"/>
              <w:noProof/>
              <w:kern w:val="2"/>
              <w:sz w:val="22"/>
              <w:szCs w:val="22"/>
              <w:lang w:eastAsia="en-US"/>
              <w14:ligatures w14:val="standardContextual"/>
            </w:rPr>
          </w:pPr>
          <w:r w:rsidRPr="00671685">
            <w:fldChar w:fldCharType="begin"/>
          </w:r>
          <w:r w:rsidRPr="00671685">
            <w:rPr>
              <w:rStyle w:val="IndexLink"/>
            </w:rPr>
            <w:instrText>TOC \o "1-3" \h \z \u</w:instrText>
          </w:r>
          <w:r w:rsidRPr="00671685">
            <w:rPr>
              <w:rStyle w:val="IndexLink"/>
            </w:rPr>
            <w:fldChar w:fldCharType="separate"/>
          </w:r>
          <w:hyperlink w:anchor="_Toc146795381" w:history="1">
            <w:r w:rsidR="00967B82" w:rsidRPr="00397674">
              <w:rPr>
                <w:rStyle w:val="Hyperlink"/>
                <w:noProof/>
              </w:rPr>
              <w:t>CHAPTER 1</w:t>
            </w:r>
            <w:r w:rsidR="00967B82">
              <w:rPr>
                <w:noProof/>
                <w:webHidden/>
              </w:rPr>
              <w:tab/>
            </w:r>
            <w:r w:rsidR="00967B82">
              <w:rPr>
                <w:noProof/>
                <w:webHidden/>
              </w:rPr>
              <w:fldChar w:fldCharType="begin"/>
            </w:r>
            <w:r w:rsidR="00967B82">
              <w:rPr>
                <w:noProof/>
                <w:webHidden/>
              </w:rPr>
              <w:instrText xml:space="preserve"> PAGEREF _Toc146795381 \h </w:instrText>
            </w:r>
            <w:r w:rsidR="00967B82">
              <w:rPr>
                <w:noProof/>
                <w:webHidden/>
              </w:rPr>
            </w:r>
            <w:r w:rsidR="00967B82">
              <w:rPr>
                <w:noProof/>
                <w:webHidden/>
              </w:rPr>
              <w:fldChar w:fldCharType="separate"/>
            </w:r>
            <w:r w:rsidR="00967B82">
              <w:rPr>
                <w:noProof/>
                <w:webHidden/>
              </w:rPr>
              <w:t>4</w:t>
            </w:r>
            <w:r w:rsidR="00967B82">
              <w:rPr>
                <w:noProof/>
                <w:webHidden/>
              </w:rPr>
              <w:fldChar w:fldCharType="end"/>
            </w:r>
          </w:hyperlink>
        </w:p>
        <w:p w14:paraId="4356D19A" w14:textId="0E9AB1F2" w:rsidR="00967B82" w:rsidRDefault="00000000">
          <w:pPr>
            <w:pStyle w:val="TOC2"/>
            <w:tabs>
              <w:tab w:val="right" w:leader="dot" w:pos="8342"/>
            </w:tabs>
            <w:rPr>
              <w:rFonts w:asciiTheme="minorHAnsi" w:eastAsiaTheme="minorEastAsia" w:hAnsiTheme="minorHAnsi" w:cstheme="minorBidi"/>
              <w:noProof/>
              <w:kern w:val="2"/>
              <w:lang w:eastAsia="en-US"/>
              <w14:ligatures w14:val="standardContextual"/>
            </w:rPr>
          </w:pPr>
          <w:hyperlink w:anchor="_Toc146795382" w:history="1">
            <w:r w:rsidR="00967B82" w:rsidRPr="00397674">
              <w:rPr>
                <w:rStyle w:val="Hyperlink"/>
                <w:noProof/>
              </w:rPr>
              <w:t>REVIEW OF THE LITERATURE</w:t>
            </w:r>
            <w:r w:rsidR="00967B82">
              <w:rPr>
                <w:noProof/>
                <w:webHidden/>
              </w:rPr>
              <w:tab/>
            </w:r>
            <w:r w:rsidR="00967B82">
              <w:rPr>
                <w:noProof/>
                <w:webHidden/>
              </w:rPr>
              <w:fldChar w:fldCharType="begin"/>
            </w:r>
            <w:r w:rsidR="00967B82">
              <w:rPr>
                <w:noProof/>
                <w:webHidden/>
              </w:rPr>
              <w:instrText xml:space="preserve"> PAGEREF _Toc146795382 \h </w:instrText>
            </w:r>
            <w:r w:rsidR="00967B82">
              <w:rPr>
                <w:noProof/>
                <w:webHidden/>
              </w:rPr>
            </w:r>
            <w:r w:rsidR="00967B82">
              <w:rPr>
                <w:noProof/>
                <w:webHidden/>
              </w:rPr>
              <w:fldChar w:fldCharType="separate"/>
            </w:r>
            <w:r w:rsidR="00967B82">
              <w:rPr>
                <w:noProof/>
                <w:webHidden/>
              </w:rPr>
              <w:t>4</w:t>
            </w:r>
            <w:r w:rsidR="00967B82">
              <w:rPr>
                <w:noProof/>
                <w:webHidden/>
              </w:rPr>
              <w:fldChar w:fldCharType="end"/>
            </w:r>
          </w:hyperlink>
        </w:p>
        <w:p w14:paraId="74B3E6EB" w14:textId="2CE08A1B" w:rsidR="00967B82" w:rsidRDefault="00000000">
          <w:pPr>
            <w:pStyle w:val="TOC2"/>
            <w:tabs>
              <w:tab w:val="right" w:leader="dot" w:pos="8342"/>
            </w:tabs>
            <w:rPr>
              <w:rFonts w:asciiTheme="minorHAnsi" w:eastAsiaTheme="minorEastAsia" w:hAnsiTheme="minorHAnsi" w:cstheme="minorBidi"/>
              <w:noProof/>
              <w:kern w:val="2"/>
              <w:lang w:eastAsia="en-US"/>
              <w14:ligatures w14:val="standardContextual"/>
            </w:rPr>
          </w:pPr>
          <w:hyperlink w:anchor="_Toc146795383" w:history="1">
            <w:r w:rsidR="00967B82" w:rsidRPr="00397674">
              <w:rPr>
                <w:rStyle w:val="Hyperlink"/>
                <w:noProof/>
              </w:rPr>
              <w:t>SUMMARY AND OBJECTIVES</w:t>
            </w:r>
            <w:r w:rsidR="00967B82">
              <w:rPr>
                <w:noProof/>
                <w:webHidden/>
              </w:rPr>
              <w:tab/>
            </w:r>
            <w:r w:rsidR="00967B82">
              <w:rPr>
                <w:noProof/>
                <w:webHidden/>
              </w:rPr>
              <w:fldChar w:fldCharType="begin"/>
            </w:r>
            <w:r w:rsidR="00967B82">
              <w:rPr>
                <w:noProof/>
                <w:webHidden/>
              </w:rPr>
              <w:instrText xml:space="preserve"> PAGEREF _Toc146795383 \h </w:instrText>
            </w:r>
            <w:r w:rsidR="00967B82">
              <w:rPr>
                <w:noProof/>
                <w:webHidden/>
              </w:rPr>
            </w:r>
            <w:r w:rsidR="00967B82">
              <w:rPr>
                <w:noProof/>
                <w:webHidden/>
              </w:rPr>
              <w:fldChar w:fldCharType="separate"/>
            </w:r>
            <w:r w:rsidR="00967B82">
              <w:rPr>
                <w:noProof/>
                <w:webHidden/>
              </w:rPr>
              <w:t>24</w:t>
            </w:r>
            <w:r w:rsidR="00967B82">
              <w:rPr>
                <w:noProof/>
                <w:webHidden/>
              </w:rPr>
              <w:fldChar w:fldCharType="end"/>
            </w:r>
          </w:hyperlink>
        </w:p>
        <w:p w14:paraId="34AECDBE" w14:textId="526282A4" w:rsidR="00967B82" w:rsidRDefault="00000000">
          <w:pPr>
            <w:pStyle w:val="TOC2"/>
            <w:tabs>
              <w:tab w:val="right" w:leader="dot" w:pos="8342"/>
            </w:tabs>
            <w:rPr>
              <w:rFonts w:asciiTheme="minorHAnsi" w:eastAsiaTheme="minorEastAsia" w:hAnsiTheme="minorHAnsi" w:cstheme="minorBidi"/>
              <w:noProof/>
              <w:kern w:val="2"/>
              <w:lang w:eastAsia="en-US"/>
              <w14:ligatures w14:val="standardContextual"/>
            </w:rPr>
          </w:pPr>
          <w:hyperlink w:anchor="_Toc146795384" w:history="1">
            <w:r w:rsidR="00967B82" w:rsidRPr="00397674">
              <w:rPr>
                <w:rStyle w:val="Hyperlink"/>
                <w:noProof/>
              </w:rPr>
              <w:t>REFERENCES</w:t>
            </w:r>
            <w:r w:rsidR="00967B82">
              <w:rPr>
                <w:noProof/>
                <w:webHidden/>
              </w:rPr>
              <w:tab/>
            </w:r>
            <w:r w:rsidR="00967B82">
              <w:rPr>
                <w:noProof/>
                <w:webHidden/>
              </w:rPr>
              <w:fldChar w:fldCharType="begin"/>
            </w:r>
            <w:r w:rsidR="00967B82">
              <w:rPr>
                <w:noProof/>
                <w:webHidden/>
              </w:rPr>
              <w:instrText xml:space="preserve"> PAGEREF _Toc146795384 \h </w:instrText>
            </w:r>
            <w:r w:rsidR="00967B82">
              <w:rPr>
                <w:noProof/>
                <w:webHidden/>
              </w:rPr>
            </w:r>
            <w:r w:rsidR="00967B82">
              <w:rPr>
                <w:noProof/>
                <w:webHidden/>
              </w:rPr>
              <w:fldChar w:fldCharType="separate"/>
            </w:r>
            <w:r w:rsidR="00967B82">
              <w:rPr>
                <w:noProof/>
                <w:webHidden/>
              </w:rPr>
              <w:t>25</w:t>
            </w:r>
            <w:r w:rsidR="00967B82">
              <w:rPr>
                <w:noProof/>
                <w:webHidden/>
              </w:rPr>
              <w:fldChar w:fldCharType="end"/>
            </w:r>
          </w:hyperlink>
        </w:p>
        <w:p w14:paraId="4EC71C41" w14:textId="3117BBFB" w:rsidR="002F7F7A" w:rsidRPr="00671685" w:rsidRDefault="00000000">
          <w:pPr>
            <w:pStyle w:val="TOC1"/>
            <w:tabs>
              <w:tab w:val="clear" w:pos="8342"/>
              <w:tab w:val="right" w:leader="dot" w:pos="8352"/>
            </w:tabs>
          </w:pPr>
          <w:r w:rsidRPr="00671685">
            <w:rPr>
              <w:rStyle w:val="IndexLink"/>
            </w:rPr>
            <w:fldChar w:fldCharType="end"/>
          </w:r>
        </w:p>
      </w:sdtContent>
    </w:sdt>
    <w:p w14:paraId="4793C27A" w14:textId="77777777" w:rsidR="002F7F7A" w:rsidRPr="00671685" w:rsidRDefault="00000000">
      <w:pPr>
        <w:spacing w:line="480" w:lineRule="auto"/>
      </w:pPr>
      <w:r w:rsidRPr="00671685">
        <w:br w:type="page"/>
      </w:r>
    </w:p>
    <w:p w14:paraId="06FBEA7D" w14:textId="77777777" w:rsidR="002F7F7A" w:rsidRPr="00671685" w:rsidRDefault="002F7F7A">
      <w:pPr>
        <w:spacing w:line="480" w:lineRule="auto"/>
        <w:sectPr w:rsidR="002F7F7A" w:rsidRPr="00671685">
          <w:headerReference w:type="default" r:id="rId8"/>
          <w:footerReference w:type="default" r:id="rId9"/>
          <w:pgSz w:w="12240" w:h="15840"/>
          <w:pgMar w:top="1440" w:right="1440" w:bottom="1440" w:left="2448" w:header="720" w:footer="720" w:gutter="0"/>
          <w:pgNumType w:fmt="lowerRoman"/>
          <w:cols w:space="720"/>
          <w:formProt w:val="0"/>
          <w:docGrid w:linePitch="600" w:charSpace="32768"/>
        </w:sectPr>
      </w:pPr>
    </w:p>
    <w:p w14:paraId="095F7FA7" w14:textId="77777777" w:rsidR="002F7F7A" w:rsidRPr="00671685" w:rsidRDefault="00000000">
      <w:pPr>
        <w:pStyle w:val="Heading1"/>
      </w:pPr>
      <w:bookmarkStart w:id="1" w:name="_Toc146795381"/>
      <w:r w:rsidRPr="00671685">
        <w:lastRenderedPageBreak/>
        <w:t>CHAPTER 1</w:t>
      </w:r>
      <w:bookmarkEnd w:id="1"/>
    </w:p>
    <w:p w14:paraId="2FB0CCA9" w14:textId="77777777" w:rsidR="002F7F7A" w:rsidRPr="00671685" w:rsidRDefault="002F7F7A">
      <w:pPr>
        <w:spacing w:line="480" w:lineRule="auto"/>
        <w:jc w:val="center"/>
        <w:rPr>
          <w:szCs w:val="24"/>
        </w:rPr>
      </w:pPr>
    </w:p>
    <w:p w14:paraId="2CA84291" w14:textId="591FCB5B" w:rsidR="002F7F7A" w:rsidRPr="00671685" w:rsidRDefault="00625165">
      <w:pPr>
        <w:pStyle w:val="Heading2"/>
        <w:rPr>
          <w:szCs w:val="24"/>
        </w:rPr>
      </w:pPr>
      <w:bookmarkStart w:id="2" w:name="_Toc146795382"/>
      <w:r w:rsidRPr="00671685">
        <w:t>REVIEW OF THE LITERATURE</w:t>
      </w:r>
      <w:bookmarkEnd w:id="2"/>
    </w:p>
    <w:p w14:paraId="3835D8DE" w14:textId="1D9B42A1" w:rsidR="00DB245E" w:rsidRPr="003C4E5B" w:rsidRDefault="00DB245E" w:rsidP="003C4E5B">
      <w:pPr>
        <w:spacing w:before="240" w:line="480" w:lineRule="auto"/>
        <w:rPr>
          <w:b/>
          <w:bCs/>
        </w:rPr>
      </w:pPr>
      <w:r w:rsidRPr="003C4E5B">
        <w:rPr>
          <w:b/>
          <w:bCs/>
          <w:i/>
          <w:iCs/>
        </w:rPr>
        <w:t xml:space="preserve">Francisella </w:t>
      </w:r>
      <w:r w:rsidR="00A773A6" w:rsidRPr="003C4E5B">
        <w:rPr>
          <w:b/>
          <w:bCs/>
          <w:i/>
          <w:iCs/>
        </w:rPr>
        <w:t>tularensis</w:t>
      </w:r>
      <w:r w:rsidR="00A773A6" w:rsidRPr="003C4E5B">
        <w:rPr>
          <w:b/>
          <w:bCs/>
        </w:rPr>
        <w:t xml:space="preserve"> </w:t>
      </w:r>
      <w:r w:rsidRPr="003C4E5B">
        <w:rPr>
          <w:b/>
          <w:bCs/>
        </w:rPr>
        <w:t>is an intracellular pathogen.</w:t>
      </w:r>
    </w:p>
    <w:p w14:paraId="3D68BAAB" w14:textId="16EE8878" w:rsidR="001258D9" w:rsidRDefault="001335DF" w:rsidP="00252468">
      <w:pPr>
        <w:spacing w:line="480" w:lineRule="auto"/>
        <w:ind w:firstLine="450"/>
        <w:jc w:val="both"/>
      </w:pPr>
      <w:r w:rsidRPr="00671685">
        <w:rPr>
          <w:i/>
          <w:iCs/>
        </w:rPr>
        <w:t>Francisella</w:t>
      </w:r>
      <w:r w:rsidR="00315EF6" w:rsidRPr="00671685">
        <w:rPr>
          <w:i/>
          <w:iCs/>
        </w:rPr>
        <w:t xml:space="preserve"> tularensis</w:t>
      </w:r>
      <w:r w:rsidR="00315EF6" w:rsidRPr="00671685">
        <w:t xml:space="preserve"> </w:t>
      </w:r>
      <w:r w:rsidR="00252468">
        <w:t xml:space="preserve">is </w:t>
      </w:r>
      <w:r w:rsidR="00315EF6" w:rsidRPr="00671685">
        <w:t xml:space="preserve">a </w:t>
      </w:r>
      <w:r w:rsidR="00252468" w:rsidRPr="00671685">
        <w:t>Gram-negative coccobacillus</w:t>
      </w:r>
      <w:r w:rsidR="00252468">
        <w:t xml:space="preserve"> bacterium. It </w:t>
      </w:r>
      <w:r w:rsidR="00315EF6" w:rsidRPr="00671685">
        <w:t xml:space="preserve">is the causative agent of </w:t>
      </w:r>
      <w:r w:rsidR="002E3DC2">
        <w:t>t</w:t>
      </w:r>
      <w:r w:rsidR="00315EF6" w:rsidRPr="00671685">
        <w:t xml:space="preserve">ularemia, </w:t>
      </w:r>
      <w:r w:rsidR="00D1103A">
        <w:t>also known</w:t>
      </w:r>
      <w:r w:rsidR="002E3DC2" w:rsidRPr="00671685">
        <w:t xml:space="preserve"> </w:t>
      </w:r>
      <w:r w:rsidR="00315EF6" w:rsidRPr="00671685">
        <w:t>as rabbit fever</w:t>
      </w:r>
      <w:r w:rsidR="00BA7920" w:rsidRPr="00671685">
        <w:t xml:space="preserve"> </w:t>
      </w:r>
      <w:r w:rsidR="00BA7920" w:rsidRPr="00671685">
        <w:fldChar w:fldCharType="begin"/>
      </w:r>
      <w:r w:rsidR="00BA7920" w:rsidRPr="00671685">
        <w:instrText xml:space="preserve"> ADDIN ZOTERO_ITEM CSL_CITATION {"citationID":"RlPLIzkn","properties":{"formattedCitation":"(Keim, Johansson, and Wagner 2007)","plainCitation":"(Keim, Johansson, and Wagner 2007)","noteIndex":0},"citationItems":[{"id":239,"uris":["http://zotero.org/users/10474456/items/SGFTY3GH"],"itemData":{"id":239,"type":"article-journal","abstract":"Abstract: Tularemia is a disease caused by several subspecies of Francisella tularensis, although the severity of the disease varies greatly from subspecies to subspecies. Currently, there are four recognized subspecies (tularensis, holarctica, mediasiatica, and novicida), in addition to a second Francisella species, F. philomiragia. It is clear from molecular sampling of the environment that these human pathogens are a mere fraction of the Francisella diversity. Taxonomic nomenclature is now being based upon several DNA-sequence-based approaches and this advance provides for robust phylogenetic models that are guiding the systematics of this genus. This in turn allows for better molecular epidemiological investigations and more precise ecological analysis. Tularemia ecology is still only partially understood, with many knowledge gaps about the disease reservoir and vectors. Molecular analysis has identified a major population split within F. tularensis subsp. tularensis that points toward distinctive ecological adaptations, vectors, and host species. Current medical practice does not rely upon subspecies or subpopulation identification, although this information may have predictive value for clinical outcome, especially in the United States. Combined molecular and epidemiological analyses suggest that the population split in F. tularensis subsp. tularensis matches two distinct human diseases in the United States with different mortality rates. DNA-sequence-based typing of F. tularensis subsp. holarctica from tularemia outbreaks in Europe and the United States proves regional identity among isolates and also demonstrates that this subspecies successfully disseminated worldwide in recent evolutionary time.","container-title":"Annals of the New York Academy of Sciences","DOI":"10.1196/annals.1409.011","ISSN":"1749-6632","issue":"1","language":"en","note":"_eprint: https://onlinelibrary.wiley.com/doi/pdf/10.1196/annals.1409.011","page":"30-66","source":"Wiley Online Library","title":"Molecular Epidemiology, Evolution, and Ecology of Francisella","volume":"1105","author":[{"family":"Keim","given":"Paul"},{"family":"Johansson","given":"Anders"},{"family":"Wagner","given":"David M."}],"issued":{"date-parts":[["2007"]]}}}],"schema":"https://github.com/citation-style-language/schema/raw/master/csl-citation.json"} </w:instrText>
      </w:r>
      <w:r w:rsidR="00BA7920" w:rsidRPr="00671685">
        <w:fldChar w:fldCharType="separate"/>
      </w:r>
      <w:r w:rsidR="00BA7920" w:rsidRPr="00671685">
        <w:rPr>
          <w:rFonts w:cs="Arial"/>
        </w:rPr>
        <w:t>(Keim, Johansson, and Wagner 2007)</w:t>
      </w:r>
      <w:r w:rsidR="00BA7920" w:rsidRPr="00671685">
        <w:fldChar w:fldCharType="end"/>
      </w:r>
      <w:r w:rsidR="00315EF6" w:rsidRPr="00671685">
        <w:t xml:space="preserve">. </w:t>
      </w:r>
      <w:r w:rsidR="00B1098C" w:rsidRPr="00671685">
        <w:t>It is a</w:t>
      </w:r>
      <w:r w:rsidR="00D1103A">
        <w:t xml:space="preserve"> facultative</w:t>
      </w:r>
      <w:r w:rsidR="00B1098C" w:rsidRPr="00671685">
        <w:t xml:space="preserve"> intracellular pathogen</w:t>
      </w:r>
      <w:r w:rsidR="002E3DC2">
        <w:t xml:space="preserve"> and must</w:t>
      </w:r>
      <w:r w:rsidR="00BA7920" w:rsidRPr="00671685">
        <w:t xml:space="preserve"> grow within </w:t>
      </w:r>
      <w:r w:rsidR="00B1098C" w:rsidRPr="00671685">
        <w:t>macrophage to cause illness. Due to its high infectivity and low infectious dose</w:t>
      </w:r>
      <w:r w:rsidR="00BA7920" w:rsidRPr="00671685">
        <w:t xml:space="preserve"> </w:t>
      </w:r>
      <w:r w:rsidR="00400ACC">
        <w:t>(estimated at</w:t>
      </w:r>
      <w:r w:rsidR="00256073">
        <w:t xml:space="preserve"> 10 cells</w:t>
      </w:r>
      <w:r w:rsidR="00400ACC">
        <w:t>)</w:t>
      </w:r>
      <w:r w:rsidR="00B1098C" w:rsidRPr="00671685">
        <w:t xml:space="preserve">, it </w:t>
      </w:r>
      <w:r w:rsidR="00D1103A">
        <w:t>is</w:t>
      </w:r>
      <w:r w:rsidR="00B1098C" w:rsidRPr="00671685">
        <w:t xml:space="preserve"> classified as </w:t>
      </w:r>
      <w:r w:rsidR="009729B8" w:rsidRPr="00671685">
        <w:t>a</w:t>
      </w:r>
      <w:r w:rsidR="0061131C">
        <w:t xml:space="preserve"> potential</w:t>
      </w:r>
      <w:r w:rsidR="009729B8" w:rsidRPr="00671685">
        <w:t xml:space="preserve"> bioweapon alongside </w:t>
      </w:r>
      <w:r w:rsidR="0061131C">
        <w:t>other bacterial species such as</w:t>
      </w:r>
      <w:r w:rsidR="0061131C" w:rsidRPr="0061131C">
        <w:t xml:space="preserve"> </w:t>
      </w:r>
      <w:r w:rsidR="0061131C" w:rsidRPr="0061131C">
        <w:rPr>
          <w:i/>
          <w:iCs/>
        </w:rPr>
        <w:t>Bacillus anthracis</w:t>
      </w:r>
      <w:r w:rsidR="00D1103A" w:rsidRPr="00D1103A">
        <w:t>,</w:t>
      </w:r>
      <w:r w:rsidR="00D1103A">
        <w:t xml:space="preserve"> the causative agent of anthrax</w:t>
      </w:r>
      <w:r w:rsidR="009729B8" w:rsidRPr="00671685">
        <w:t xml:space="preserve"> </w:t>
      </w:r>
      <w:r w:rsidR="00B1098C" w:rsidRPr="00671685">
        <w:fldChar w:fldCharType="begin"/>
      </w:r>
      <w:r w:rsidR="00B1098C" w:rsidRPr="00671685">
        <w:instrText xml:space="preserve"> ADDIN ZOTERO_ITEM CSL_CITATION {"citationID":"I9dgnK2R","properties":{"formattedCitation":"(Dennis et al. 2001)","plainCitation":"(Dennis et al. 2001)","noteIndex":0},"citationItems":[{"id":244,"uris":["http://zotero.org/users/10474456/items/P754GQEA"],"itemData":{"id":244,"type":"article-journal","abstract":"ObjectiveThe Working Group on Civilian Biodefense has developed consensus-based recommendations for measures to be taken by medical and public health professionals\nif tularemia is used as a biological weapon against a civilian population.ParticipantsThe working group included 25 representatives from academic medical\ncenters, civilian and military governmental agencies, and other public health\nand emergency management institutions and agencies.EvidenceMEDLINE databases were searched from January 1966 to October 2000, using\nthe Medical Subject Headings Francisella tularensis, Pasteurella tularensis, biological weapon, biological terrorism, bioterrorism, biological warfare, and biowarfare. Review of these references led to identification\nof relevant materials published prior to 1966. In addition, participants identified\nother references and sources.Consensus ProcessThree formal drafts of the statement that synthesized information obtained\nin the formal evidence-gathering process were reviewed by members of the working\ngroup. Consensus was achieved on the final draft.ConclusionsA weapon using airborne tularemia would likely result 3 to 5 days later\nin an outbreak of acute, undifferentiated febrile illness with incipient pneumonia,\npleuritis, and hilar lymphadenopathy. Specific epidemiological, clinical,\nand microbiological findings should lead to early suspicion of intentional\ntularemia in an alert health system; laboratory confirmation of agent could\nbe delayed. Without treatment, the clinical course could progress to respiratory\nfailure, shock, and death. Prompt treatment with streptomycin, gentamicin,\ndoxycycline, or ciprofloxacin is recommended. Prophylactic use of doxycycline\nor ciprofloxacin may be useful in the early postexposure period.","container-title":"JAMA","DOI":"10.1001/jama.285.21.2763","ISSN":"0098-7484","issue":"21","journalAbbreviation":"JAMA","page":"2763-2773","source":"Silverchair","title":"Tularemia as a Biological WeaponMedical and Public Health Management","volume":"285","author":[{"family":"Dennis","given":"David T."},{"family":"Inglesby","given":"Thomas V."},{"family":"Henderson","given":"Donald A."},{"family":"Bartlett","given":"John G."},{"family":"Ascher","given":"Michael S."},{"family":"Eitzen","given":"Edward"},{"family":"Fine","given":"Anne D."},{"family":"Friedlander","given":"Arthur M."},{"family":"Hauer","given":"Jerome"},{"family":"Layton","given":"Marcelle"},{"family":"Lillibridge","given":"Scott R."},{"family":"McDade","given":"Joseph E."},{"family":"Osterholm","given":"Michael T."},{"family":"O'Toole","given":"Tara"},{"family":"Parker","given":"Gerald"},{"family":"Perl","given":"Trish M."},{"family":"Russell","given":"Philip K."},{"family":"Tonat","given":"Kevin"},{"literal":"for the Working Group on Civilian Biodefense"}],"issued":{"date-parts":[["2001",6,6]]}}}],"schema":"https://github.com/citation-style-language/schema/raw/master/csl-citation.json"} </w:instrText>
      </w:r>
      <w:r w:rsidR="00B1098C" w:rsidRPr="00671685">
        <w:fldChar w:fldCharType="separate"/>
      </w:r>
      <w:r w:rsidR="00B1098C" w:rsidRPr="00671685">
        <w:rPr>
          <w:rFonts w:cs="Arial"/>
        </w:rPr>
        <w:t>(Dennis et al. 2001)</w:t>
      </w:r>
      <w:r w:rsidR="00B1098C" w:rsidRPr="00671685">
        <w:fldChar w:fldCharType="end"/>
      </w:r>
      <w:r w:rsidR="00B1098C" w:rsidRPr="00671685">
        <w:t xml:space="preserve">. </w:t>
      </w:r>
      <w:r w:rsidR="00252468">
        <w:t xml:space="preserve">That said, it </w:t>
      </w:r>
      <w:r w:rsidR="00BA7920" w:rsidRPr="00671685">
        <w:t>is an environmental pathogen</w:t>
      </w:r>
      <w:r w:rsidR="00FD5025">
        <w:t xml:space="preserve"> that is</w:t>
      </w:r>
      <w:r w:rsidR="00FD5025" w:rsidRPr="00671685">
        <w:t xml:space="preserve"> </w:t>
      </w:r>
      <w:r w:rsidR="00BA7920" w:rsidRPr="00671685">
        <w:t xml:space="preserve">endemic to </w:t>
      </w:r>
      <w:r w:rsidR="00256073">
        <w:t xml:space="preserve">North America, Europe, and Asia. </w:t>
      </w:r>
      <w:r w:rsidR="00252468">
        <w:t>T</w:t>
      </w:r>
      <w:r w:rsidR="00256073">
        <w:t>he</w:t>
      </w:r>
      <w:r w:rsidR="0061131C">
        <w:t xml:space="preserve"> majority of reported cases arise from the </w:t>
      </w:r>
      <w:r w:rsidR="00256073">
        <w:t xml:space="preserve">United States, </w:t>
      </w:r>
      <w:r w:rsidR="00D1103A">
        <w:t xml:space="preserve">with the highest incidence in </w:t>
      </w:r>
      <w:r w:rsidR="00256073">
        <w:t xml:space="preserve">the </w:t>
      </w:r>
      <w:r w:rsidR="00252468">
        <w:t>south-central</w:t>
      </w:r>
      <w:r w:rsidR="00256073">
        <w:t xml:space="preserve"> </w:t>
      </w:r>
      <w:r w:rsidR="00D1103A">
        <w:t>region</w:t>
      </w:r>
      <w:r w:rsidR="00256073">
        <w:t xml:space="preserve"> of the </w:t>
      </w:r>
      <w:r w:rsidR="00252468">
        <w:t>country</w:t>
      </w:r>
      <w:r w:rsidR="00A1374A">
        <w:t xml:space="preserve"> </w:t>
      </w:r>
      <w:r w:rsidR="00A1374A">
        <w:fldChar w:fldCharType="begin"/>
      </w:r>
      <w:r w:rsidR="00A1374A">
        <w:instrText xml:space="preserve"> ADDIN ZOTERO_ITEM CSL_CITATION {"citationID":"yX7Mil2R","properties":{"formattedCitation":"(Keim et al. 2007)","plainCitation":"(Keim et al. 2007)","noteIndex":0},"citationItems":[{"id":239,"uris":["http://zotero.org/users/10474456/items/SGFTY3GH"],"itemData":{"id":239,"type":"article-journal","abstract":"Abstract: Tularemia is a disease caused by several subspecies of Francisella tularensis, although the severity of the disease varies greatly from subspecies to subspecies. Currently, there are four recognized subspecies (tularensis, holarctica, mediasiatica, and novicida), in addition to a second Francisella species, F. philomiragia. It is clear from molecular sampling of the environment that these human pathogens are a mere fraction of the Francisella diversity. Taxonomic nomenclature is now being based upon several DNA-sequence-based approaches and this advance provides for robust phylogenetic models that are guiding the systematics of this genus. This in turn allows for better molecular epidemiological investigations and more precise ecological analysis. Tularemia ecology is still only partially understood, with many knowledge gaps about the disease reservoir and vectors. Molecular analysis has identified a major population split within F. tularensis subsp. tularensis that points toward distinctive ecological adaptations, vectors, and host species. Current medical practice does not rely upon subspecies or subpopulation identification, although this information may have predictive value for clinical outcome, especially in the United States. Combined molecular and epidemiological analyses suggest that the population split in F. tularensis subsp. tularensis matches two distinct human diseases in the United States with different mortality rates. DNA-sequence-based typing of F. tularensis subsp. holarctica from tularemia outbreaks in Europe and the United States proves regional identity among isolates and also demonstrates that this subspecies successfully disseminated worldwide in recent evolutionary time.","container-title":"Annals of the New York Academy of Sciences","DOI":"10.1196/annals.1409.011","ISSN":"1749-6632","issue":"1","language":"en","note":"_eprint: https://onlinelibrary.wiley.com/doi/pdf/10.1196/annals.1409.011","page":"30-66","source":"Wiley Online Library","title":"Molecular Epidemiology, Evolution, and Ecology of Francisella","volume":"1105","author":[{"family":"Keim","given":"Paul"},{"family":"Johansson","given":"Anders"},{"family":"Wagner","given":"David M."}],"issued":{"date-parts":[["2007"]]}}}],"schema":"https://github.com/citation-style-language/schema/raw/master/csl-citation.json"} </w:instrText>
      </w:r>
      <w:r w:rsidR="00A1374A">
        <w:fldChar w:fldCharType="separate"/>
      </w:r>
      <w:r w:rsidR="00A1374A" w:rsidRPr="00A1374A">
        <w:rPr>
          <w:rFonts w:cs="Arial"/>
        </w:rPr>
        <w:t>(Keim et al. 2007)</w:t>
      </w:r>
      <w:r w:rsidR="00A1374A">
        <w:fldChar w:fldCharType="end"/>
      </w:r>
      <w:r w:rsidR="00B1098C" w:rsidRPr="00671685">
        <w:t>.</w:t>
      </w:r>
      <w:r w:rsidR="00086491" w:rsidRPr="00671685">
        <w:t xml:space="preserve"> </w:t>
      </w:r>
    </w:p>
    <w:p w14:paraId="127098F1" w14:textId="7CCC70AC" w:rsidR="00EE348C" w:rsidRDefault="00252468" w:rsidP="001258D9">
      <w:pPr>
        <w:spacing w:line="480" w:lineRule="auto"/>
        <w:ind w:firstLine="450"/>
        <w:jc w:val="both"/>
      </w:pPr>
      <w:r>
        <w:t xml:space="preserve">There are multiple routes </w:t>
      </w:r>
      <w:r w:rsidR="00400ACC">
        <w:t xml:space="preserve">by which </w:t>
      </w:r>
      <w:r w:rsidR="00400ACC" w:rsidRPr="0091565C">
        <w:rPr>
          <w:i/>
          <w:iCs/>
        </w:rPr>
        <w:t>F. tularensis</w:t>
      </w:r>
      <w:r w:rsidR="00400ACC">
        <w:t xml:space="preserve"> may infect a host, including</w:t>
      </w:r>
      <w:r>
        <w:t xml:space="preserve"> </w:t>
      </w:r>
      <w:r w:rsidR="001258D9" w:rsidRPr="00671685">
        <w:t>inhal</w:t>
      </w:r>
      <w:r w:rsidR="001258D9">
        <w:t>ation</w:t>
      </w:r>
      <w:r w:rsidR="001258D9" w:rsidRPr="00671685">
        <w:t>, ingest</w:t>
      </w:r>
      <w:r w:rsidR="001258D9">
        <w:t>ion</w:t>
      </w:r>
      <w:r w:rsidR="001258D9" w:rsidRPr="00671685">
        <w:t xml:space="preserve">, or through </w:t>
      </w:r>
      <w:r w:rsidR="00400ACC">
        <w:t xml:space="preserve">contact with </w:t>
      </w:r>
      <w:r w:rsidR="001258D9" w:rsidRPr="00671685">
        <w:t xml:space="preserve">open wounds </w:t>
      </w:r>
      <w:r w:rsidR="001258D9" w:rsidRPr="00671685">
        <w:fldChar w:fldCharType="begin"/>
      </w:r>
      <w:r w:rsidR="001258D9" w:rsidRPr="00671685">
        <w:instrText xml:space="preserve"> ADDIN ZOTERO_ITEM CSL_CITATION {"citationID":"MJqx3lIT","properties":{"formattedCitation":"(Keim et al. 2007)","plainCitation":"(Keim et al. 2007)","noteIndex":0},"citationItems":[{"id":239,"uris":["http://zotero.org/users/10474456/items/SGFTY3GH"],"itemData":{"id":239,"type":"article-journal","abstract":"Abstract: Tularemia is a disease caused by several subspecies of Francisella tularensis, although the severity of the disease varies greatly from subspecies to subspecies. Currently, there are four recognized subspecies (tularensis, holarctica, mediasiatica, and novicida), in addition to a second Francisella species, F. philomiragia. It is clear from molecular sampling of the environment that these human pathogens are a mere fraction of the Francisella diversity. Taxonomic nomenclature is now being based upon several DNA-sequence-based approaches and this advance provides for robust phylogenetic models that are guiding the systematics of this genus. This in turn allows for better molecular epidemiological investigations and more precise ecological analysis. Tularemia ecology is still only partially understood, with many knowledge gaps about the disease reservoir and vectors. Molecular analysis has identified a major population split within F. tularensis subsp. tularensis that points toward distinctive ecological adaptations, vectors, and host species. Current medical practice does not rely upon subspecies or subpopulation identification, although this information may have predictive value for clinical outcome, especially in the United States. Combined molecular and epidemiological analyses suggest that the population split in F. tularensis subsp. tularensis matches two distinct human diseases in the United States with different mortality rates. DNA-sequence-based typing of F. tularensis subsp. holarctica from tularemia outbreaks in Europe and the United States proves regional identity among isolates and also demonstrates that this subspecies successfully disseminated worldwide in recent evolutionary time.","container-title":"Annals of the New York Academy of Sciences","DOI":"10.1196/annals.1409.011","ISSN":"1749-6632","issue":"1","language":"en","note":"_eprint: https://onlinelibrary.wiley.com/doi/pdf/10.1196/annals.1409.011","page":"30-66","source":"Wiley Online Library","title":"Molecular Epidemiology, Evolution, and Ecology of Francisella","volume":"1105","author":[{"family":"Keim","given":"Paul"},{"family":"Johansson","given":"Anders"},{"family":"Wagner","given":"David M."}],"issued":{"date-parts":[["2007"]]}}}],"schema":"https://github.com/citation-style-language/schema/raw/master/csl-citation.json"} </w:instrText>
      </w:r>
      <w:r w:rsidR="001258D9" w:rsidRPr="00671685">
        <w:fldChar w:fldCharType="separate"/>
      </w:r>
      <w:r w:rsidR="001258D9" w:rsidRPr="00671685">
        <w:rPr>
          <w:rFonts w:cs="Arial"/>
        </w:rPr>
        <w:t>(Keim et al. 2007)</w:t>
      </w:r>
      <w:r w:rsidR="001258D9" w:rsidRPr="00671685">
        <w:fldChar w:fldCharType="end"/>
      </w:r>
      <w:r w:rsidR="001258D9" w:rsidRPr="00671685">
        <w:t xml:space="preserve">. </w:t>
      </w:r>
      <w:r w:rsidR="00400ACC">
        <w:t>The disease t</w:t>
      </w:r>
      <w:r>
        <w:t>ularemia may present in a number of ways</w:t>
      </w:r>
      <w:r w:rsidR="00400ACC">
        <w:t>, which vary dependent on the route of entry</w:t>
      </w:r>
      <w:r>
        <w:t xml:space="preserve">. This presentation can include flu-like symptoms </w:t>
      </w:r>
      <w:r w:rsidR="00915DFA">
        <w:t xml:space="preserve">such as </w:t>
      </w:r>
      <w:r>
        <w:t>malaise and cough</w:t>
      </w:r>
      <w:r w:rsidR="002A0C0B">
        <w:t>. It</w:t>
      </w:r>
      <w:r>
        <w:t xml:space="preserve"> may also cause </w:t>
      </w:r>
      <w:r w:rsidR="002A0C0B">
        <w:t xml:space="preserve">ulcers or swelling in areas such as the stomach, mouth, or eyes </w:t>
      </w:r>
      <w:r w:rsidR="00D24211">
        <w:fldChar w:fldCharType="begin"/>
      </w:r>
      <w:r w:rsidR="00D24211">
        <w:instrText xml:space="preserve"> ADDIN ZOTERO_ITEM CSL_CITATION {"citationID":"wjBx8NE1","properties":{"formattedCitation":"(Keim et al. 2007)","plainCitation":"(Keim et al. 2007)","noteIndex":0},"citationItems":[{"id":239,"uris":["http://zotero.org/users/10474456/items/SGFTY3GH"],"itemData":{"id":239,"type":"article-journal","abstract":"Abstract: Tularemia is a disease caused by several subspecies of Francisella tularensis, although the severity of the disease varies greatly from subspecies to subspecies. Currently, there are four recognized subspecies (tularensis, holarctica, mediasiatica, and novicida), in addition to a second Francisella species, F. philomiragia. It is clear from molecular sampling of the environment that these human pathogens are a mere fraction of the Francisella diversity. Taxonomic nomenclature is now being based upon several DNA-sequence-based approaches and this advance provides for robust phylogenetic models that are guiding the systematics of this genus. This in turn allows for better molecular epidemiological investigations and more precise ecological analysis. Tularemia ecology is still only partially understood, with many knowledge gaps about the disease reservoir and vectors. Molecular analysis has identified a major population split within F. tularensis subsp. tularensis that points toward distinctive ecological adaptations, vectors, and host species. Current medical practice does not rely upon subspecies or subpopulation identification, although this information may have predictive value for clinical outcome, especially in the United States. Combined molecular and epidemiological analyses suggest that the population split in F. tularensis subsp. tularensis matches two distinct human diseases in the United States with different mortality rates. DNA-sequence-based typing of F. tularensis subsp. holarctica from tularemia outbreaks in Europe and the United States proves regional identity among isolates and also demonstrates that this subspecies successfully disseminated worldwide in recent evolutionary time.","container-title":"Annals of the New York Academy of Sciences","DOI":"10.1196/annals.1409.011","ISSN":"1749-6632","issue":"1","language":"en","note":"_eprint: https://onlinelibrary.wiley.com/doi/pdf/10.1196/annals.1409.011","page":"30-66","source":"Wiley Online Library","title":"Molecular Epidemiology, Evolution, and Ecology of Francisella","volume":"1105","author":[{"family":"Keim","given":"Paul"},{"family":"Johansson","given":"Anders"},{"family":"Wagner","given":"David M."}],"issued":{"date-parts":[["2007"]]}}}],"schema":"https://github.com/citation-style-language/schema/raw/master/csl-citation.json"} </w:instrText>
      </w:r>
      <w:r w:rsidR="00D24211">
        <w:fldChar w:fldCharType="separate"/>
      </w:r>
      <w:r w:rsidR="00D24211" w:rsidRPr="00D24211">
        <w:rPr>
          <w:rFonts w:cs="Arial"/>
        </w:rPr>
        <w:t>(Keim et al. 2007)</w:t>
      </w:r>
      <w:r w:rsidR="00D24211">
        <w:fldChar w:fldCharType="end"/>
      </w:r>
      <w:r w:rsidR="00256073">
        <w:t>.</w:t>
      </w:r>
      <w:r w:rsidR="00315EF6" w:rsidRPr="00671685">
        <w:t xml:space="preserve"> </w:t>
      </w:r>
    </w:p>
    <w:p w14:paraId="4F1A4C87" w14:textId="34521E7D" w:rsidR="001258D9" w:rsidRDefault="001858D0" w:rsidP="00E8328A">
      <w:pPr>
        <w:spacing w:line="480" w:lineRule="auto"/>
        <w:ind w:firstLine="450"/>
        <w:jc w:val="both"/>
      </w:pPr>
      <w:r>
        <w:t>The t</w:t>
      </w:r>
      <w:r w:rsidR="00EE348C">
        <w:t xml:space="preserve">wo subspecies of </w:t>
      </w:r>
      <w:r w:rsidR="00EE348C">
        <w:rPr>
          <w:i/>
          <w:iCs/>
        </w:rPr>
        <w:t>F. tularensis</w:t>
      </w:r>
      <w:r w:rsidR="000D6853">
        <w:rPr>
          <w:i/>
          <w:iCs/>
        </w:rPr>
        <w:t xml:space="preserve"> </w:t>
      </w:r>
      <w:r w:rsidR="000D6853">
        <w:t xml:space="preserve">that are </w:t>
      </w:r>
      <w:r w:rsidR="00915DFA">
        <w:t xml:space="preserve">the </w:t>
      </w:r>
      <w:r w:rsidR="000D6853">
        <w:t>most clinically-</w:t>
      </w:r>
      <w:r w:rsidR="001258D9">
        <w:t>relevant</w:t>
      </w:r>
      <w:r w:rsidR="000D6853">
        <w:t xml:space="preserve"> are </w:t>
      </w:r>
      <w:r w:rsidR="000D6853" w:rsidRPr="001258D9">
        <w:rPr>
          <w:i/>
          <w:iCs/>
        </w:rPr>
        <w:t>F. tularensis</w:t>
      </w:r>
      <w:r w:rsidR="000D6853">
        <w:t xml:space="preserve"> subsp.</w:t>
      </w:r>
      <w:r w:rsidR="00315EF6" w:rsidRPr="00671685">
        <w:t xml:space="preserve"> </w:t>
      </w:r>
      <w:r w:rsidR="00315EF6" w:rsidRPr="00671685">
        <w:rPr>
          <w:i/>
          <w:iCs/>
        </w:rPr>
        <w:t>tularensis</w:t>
      </w:r>
      <w:r w:rsidR="00EE348C">
        <w:rPr>
          <w:i/>
          <w:iCs/>
        </w:rPr>
        <w:t xml:space="preserve"> </w:t>
      </w:r>
      <w:r w:rsidR="00EE348C">
        <w:t xml:space="preserve">and </w:t>
      </w:r>
      <w:r w:rsidR="000D6853" w:rsidRPr="00326B7B">
        <w:rPr>
          <w:i/>
          <w:iCs/>
        </w:rPr>
        <w:t>F. tularensis</w:t>
      </w:r>
      <w:r w:rsidR="000D6853">
        <w:t xml:space="preserve"> subsp. </w:t>
      </w:r>
      <w:r w:rsidR="00315EF6" w:rsidRPr="00671685">
        <w:rPr>
          <w:i/>
          <w:iCs/>
        </w:rPr>
        <w:t>holarctica</w:t>
      </w:r>
      <w:r w:rsidR="00300384" w:rsidRPr="00671685">
        <w:rPr>
          <w:i/>
          <w:iCs/>
        </w:rPr>
        <w:t xml:space="preserve"> </w:t>
      </w:r>
      <w:r w:rsidR="00300384" w:rsidRPr="00671685">
        <w:rPr>
          <w:i/>
          <w:iCs/>
        </w:rPr>
        <w:fldChar w:fldCharType="begin"/>
      </w:r>
      <w:r w:rsidR="00EE348C">
        <w:rPr>
          <w:i/>
          <w:iCs/>
        </w:rPr>
        <w:instrText xml:space="preserve"> ADDIN ZOTERO_ITEM CSL_CITATION {"citationID":"3cvwKo5U","properties":{"formattedCitation":"(Kingry and Petersen 2014; Olsufjev and Meshcheryakova, 1983; Petersen and Molins 2010)","plainCitation":"(Kingry and Petersen 2014; Olsufjev and Meshcheryakova, 1983; Petersen and Molins 2010)","noteIndex":0},"citationItems":[{"id":236,"uris":["http://zotero.org/users/10474456/items/6UGD5D7I"],"itemData":{"id":236,"type":"article-journal","abstract":"Francisella tularensis is the causative agent of the acute disease tularemia. Due to its extreme infectivity and ability to cause disease upon inhalation, F. tularensis has been classified as a biothreat agent. Two subspecies of F. tularensis, tularensis and holarctica, are responsible for tularemia in humans. In comparison, the closely related species F. novicida very rarely causes human illness and cases that do occur are associated with patients who are immune compromised or have other underlying health problems. Virulence between F. tularensis and F. novicida also differs in laboratory animals. Despite this varying capacity to cause disease, the two species share ~97% nucleotide identity, with F. novicida commonly used as a laboratory surrogate for F. tularensis. As the F. novicida U112 strain is exempt from U.S. select agent regulations, research studies can be carried out in non-registered laboratories lacking specialized containment facilities required for work with virulent F. tularensis strains. This review is designed to highlight phenotypic (clinical, ecological, virulence, and pathogenic) and genomic differences between F. tularensis and F. novicida that warrant maintaining F. novicida and F. tularensis as separate species. Standardized nomenclature for F. novicida is critical for accurate interpretation of experimental results, limiting clinical confusion between F. novicida and F. tularensis and ensuring treatment efficacy studies utilize virulent F. tularensis strains.","container-title":"Frontiers in Cellular and Infection Microbiology","DOI":"10.3389/fcimb.2014.00035","ISSN":"2235-2988","journalAbbreviation":"Front Cell Infect Microbiol","note":"PMID: 24660164\nPMCID: PMC3952080","page":"35","source":"PubMed Central","title":"Comparative review of Francisella tularensis and Francisella novicida","volume":"4","author":[{"family":"Kingry","given":"Luke C."},{"family":"Petersen","given":"Jeannine M."}],"issued":{"date-parts":[["2014",3,13]]}}},{"id":242,"uris":["http://zotero.org/users/10474456/items/8G48PU9Q"],"itemData":{"id":242,"type":"article-journal","abstract":"In this note we examine the nomenclature and extend the descriptions of the subspecies of Francisella tularensis McCoy and Chapin that were proposed by Olsufjev and Meshcheryakova (J. Hyg. Epidemiol. Microbiol. Immunol. 26:291-299, 1982) but have not been validated by publication or listing in the International Journal of Systematic Bacteriology. Biochemical, pathological, ecological, and geographical characteristics are used to define three subspecies within F. tularensis; these are F. tularensis subsp. tularensis (McCoy and Chapin) subsp. nov. (type strain, GIEM Schu), F. tularensis subsp. holarctica Olsufjev and Meshcheryakova 1982, 296 (type strain, GIEM 503), and F. tularensis subsp. mediasiatica (Aikimbaev 1966) Olsufjev and Meshcheryakova 1982, 296 (type strain, GIEM 543). F. tularensis subsp. holarctica includes three biovars, I Erys (erythromycin susceptible), II Eryr (erythromycin resistant), and japonica. The now avirulent type strain of F. tularensis McCoy and Chapin (strain B-38 [= ATCC 6223]) is not totally characteristic of F. tularensis subsp. tularensis, and that is why another type strain is proposed for this subspecies.","container-title":"International Journal of Systematic and Evolutionary Microbiology","DOI":"10.1099/00207713-33-4-872","ISSN":"1466-5034","issue":"4","note":"publisher: Microbiology Society,","page":"872-874","source":"Microbiology Society Journals","title":"Subspecific Taxonomy of Francisella tularensis McCoy and Chapin 1912†","volume":"33","author":[{"family":"Olsufjev","given":"N. G."},{"family":"Meshcheryakova,","given":"I. S."}],"issued":{"date-parts":[["1983"]]}}},{"id":374,"uris":["http://zotero.org/users/10474456/items/WYQFUFE4"],"itemData":{"id":374,"type":"article-journal","abstract":"Tularemia is primarily caused by two subspecies of Francisella tularensis worldwide, ssp. tularensis (type A) and ssp. holarctica (type B), which were originally delineated by phenotypic differences. Application of molecular typing methods to investigate population structure of F. tularensis has confirmed that catagorizing the two subspecies via phenotypic characteristics corresponds with genotypic differentiation. In addition, genotyping methods have demonstrated that both subspecies, type A and type B, can be further distinguished into subpopulations and, in some cases, biological relevance has been ascribed to these identified subpopulations. Genetic variation among both type A and type B subpopulations has been shown to correlate with differences in geographic distribution and has also been coupled to distinct ecological niches, animal hosts and replication foci. Among type A subpopulations, strain variation is linked to differing clinical manifestations in humans and virulence in mice. This article will highlight our current understanding of F. tularensis subpopulations, including methods for their detection, their observed epidemiologic differences, implications for public health and basic research programs, as well as future challenges yet to be solved. [PUBLICATION ABSTRACT]","container-title":"Future Microbiology","DOI":"10.2217/fmb.10.17","ISSN":"17460913","issue":"4","language":"English","license":"© 2010 Future Medicine Ltd","note":"number-of-pages: 649-61\npublisher-place: London, United Kingdom\npublisher: Future Medicine Ltd","page":"649-61","source":"ProQuest","title":"Subpopulations of Francisella tularensis ssp. tularensis and holarctica: identification and associated epidemiology","title-short":"Subpopulations of Francisella tularensis ssp. tularensis and holarctica","volume":"5","author":[{"family":"Petersen","given":"Jeannine M."},{"family":"Molins","given":"Claudia R."}],"issued":{"date-parts":[["2010",4]]}}}],"schema":"https://github.com/citation-style-language/schema/raw/master/csl-citation.json"} </w:instrText>
      </w:r>
      <w:r w:rsidR="00300384" w:rsidRPr="00671685">
        <w:rPr>
          <w:i/>
          <w:iCs/>
        </w:rPr>
        <w:fldChar w:fldCharType="separate"/>
      </w:r>
      <w:r w:rsidR="00EE348C" w:rsidRPr="00EE348C">
        <w:rPr>
          <w:rFonts w:cs="Arial"/>
        </w:rPr>
        <w:t>(Kingry and Petersen 2014; Olsufjev and Meshcheryakova, 1983; Petersen and Molins 2010)</w:t>
      </w:r>
      <w:r w:rsidR="00300384" w:rsidRPr="00671685">
        <w:rPr>
          <w:i/>
          <w:iCs/>
        </w:rPr>
        <w:fldChar w:fldCharType="end"/>
      </w:r>
      <w:r w:rsidR="00315EF6" w:rsidRPr="00671685">
        <w:t xml:space="preserve">. </w:t>
      </w:r>
      <w:r w:rsidR="000D6853">
        <w:t xml:space="preserve">Infection with </w:t>
      </w:r>
      <w:r w:rsidR="00B1098C" w:rsidRPr="00671685">
        <w:rPr>
          <w:i/>
          <w:iCs/>
        </w:rPr>
        <w:t xml:space="preserve">F. tularensis </w:t>
      </w:r>
      <w:r w:rsidR="00B1098C" w:rsidRPr="00671685">
        <w:t xml:space="preserve">subsp. </w:t>
      </w:r>
      <w:r w:rsidR="00B1098C" w:rsidRPr="00671685">
        <w:rPr>
          <w:i/>
          <w:iCs/>
        </w:rPr>
        <w:t>tularensis</w:t>
      </w:r>
      <w:r w:rsidR="00B1098C" w:rsidRPr="00671685">
        <w:t xml:space="preserve"> causes the most severe</w:t>
      </w:r>
      <w:r w:rsidR="0039427E">
        <w:t xml:space="preserve"> </w:t>
      </w:r>
      <w:r w:rsidR="0039427E">
        <w:lastRenderedPageBreak/>
        <w:t>human</w:t>
      </w:r>
      <w:r w:rsidR="00B1098C" w:rsidRPr="00671685">
        <w:t xml:space="preserve"> disease</w:t>
      </w:r>
      <w:r w:rsidR="00400ACC">
        <w:t xml:space="preserve"> and can be lethal</w:t>
      </w:r>
      <w:r w:rsidR="00EE348C">
        <w:t xml:space="preserve"> </w:t>
      </w:r>
      <w:r w:rsidR="00B1098C" w:rsidRPr="00671685">
        <w:fldChar w:fldCharType="begin"/>
      </w:r>
      <w:r w:rsidR="00B1098C" w:rsidRPr="00671685">
        <w:instrText xml:space="preserve"> ADDIN ZOTERO_ITEM CSL_CITATION {"citationID":"sFQK10Qz","properties":{"formattedCitation":"(Kingry and Petersen 2014)","plainCitation":"(Kingry and Petersen 2014)","noteIndex":0},"citationItems":[{"id":236,"uris":["http://zotero.org/users/10474456/items/6UGD5D7I"],"itemData":{"id":236,"type":"article-journal","abstract":"Francisella tularensis is the causative agent of the acute disease tularemia. Due to its extreme infectivity and ability to cause disease upon inhalation, F. tularensis has been classified as a biothreat agent. Two subspecies of F. tularensis, tularensis and holarctica, are responsible for tularemia in humans. In comparison, the closely related species F. novicida very rarely causes human illness and cases that do occur are associated with patients who are immune compromised or have other underlying health problems. Virulence between F. tularensis and F. novicida also differs in laboratory animals. Despite this varying capacity to cause disease, the two species share ~97% nucleotide identity, with F. novicida commonly used as a laboratory surrogate for F. tularensis. As the F. novicida U112 strain is exempt from U.S. select agent regulations, research studies can be carried out in non-registered laboratories lacking specialized containment facilities required for work with virulent F. tularensis strains. This review is designed to highlight phenotypic (clinical, ecological, virulence, and pathogenic) and genomic differences between F. tularensis and F. novicida that warrant maintaining F. novicida and F. tularensis as separate species. Standardized nomenclature for F. novicida is critical for accurate interpretation of experimental results, limiting clinical confusion between F. novicida and F. tularensis and ensuring treatment efficacy studies utilize virulent F. tularensis strains.","container-title":"Frontiers in Cellular and Infection Microbiology","DOI":"10.3389/fcimb.2014.00035","ISSN":"2235-2988","journalAbbreviation":"Front Cell Infect Microbiol","note":"PMID: 24660164\nPMCID: PMC3952080","page":"35","source":"PubMed Central","title":"Comparative review of Francisella tularensis and Francisella novicida","volume":"4","author":[{"family":"Kingry","given":"Luke C."},{"family":"Petersen","given":"Jeannine M."}],"issued":{"date-parts":[["2014",3,13]]}}}],"schema":"https://github.com/citation-style-language/schema/raw/master/csl-citation.json"} </w:instrText>
      </w:r>
      <w:r w:rsidR="00B1098C" w:rsidRPr="00671685">
        <w:fldChar w:fldCharType="separate"/>
      </w:r>
      <w:r w:rsidR="00B1098C" w:rsidRPr="00671685">
        <w:rPr>
          <w:rFonts w:cs="Arial"/>
        </w:rPr>
        <w:t>(Kingry and Petersen 2014)</w:t>
      </w:r>
      <w:r w:rsidR="00B1098C" w:rsidRPr="00671685">
        <w:fldChar w:fldCharType="end"/>
      </w:r>
      <w:r w:rsidR="00B1098C" w:rsidRPr="00671685">
        <w:t>.</w:t>
      </w:r>
      <w:r w:rsidR="00985F1C">
        <w:t xml:space="preserve"> In contrast, </w:t>
      </w:r>
      <w:r w:rsidR="00400ACC">
        <w:t xml:space="preserve">infection by </w:t>
      </w:r>
      <w:r w:rsidR="0039427E" w:rsidRPr="00671685">
        <w:rPr>
          <w:i/>
          <w:iCs/>
        </w:rPr>
        <w:t xml:space="preserve">F. tularensis </w:t>
      </w:r>
      <w:r w:rsidR="0039427E" w:rsidRPr="00671685">
        <w:t xml:space="preserve">subsp. </w:t>
      </w:r>
      <w:r w:rsidR="0039427E" w:rsidRPr="00671685">
        <w:rPr>
          <w:i/>
          <w:iCs/>
        </w:rPr>
        <w:t xml:space="preserve">holarctica </w:t>
      </w:r>
      <w:r w:rsidR="00400ACC">
        <w:t xml:space="preserve">generally </w:t>
      </w:r>
      <w:r w:rsidR="00985F1C">
        <w:t>leads</w:t>
      </w:r>
      <w:r w:rsidR="0039427E" w:rsidRPr="00671685">
        <w:t xml:space="preserve"> </w:t>
      </w:r>
      <w:r w:rsidR="00985F1C">
        <w:t xml:space="preserve">to </w:t>
      </w:r>
      <w:r w:rsidR="000B4538">
        <w:t>less severe</w:t>
      </w:r>
      <w:r w:rsidR="000B4538" w:rsidRPr="00671685">
        <w:t xml:space="preserve"> </w:t>
      </w:r>
      <w:r w:rsidR="0039427E" w:rsidRPr="00671685">
        <w:t>diseas</w:t>
      </w:r>
      <w:r w:rsidR="00985F1C">
        <w:t xml:space="preserve">e </w:t>
      </w:r>
      <w:r w:rsidR="000B4538">
        <w:t xml:space="preserve">outcomes </w:t>
      </w:r>
      <w:r w:rsidR="00985F1C">
        <w:fldChar w:fldCharType="begin"/>
      </w:r>
      <w:r w:rsidR="00985F1C">
        <w:instrText xml:space="preserve"> ADDIN ZOTERO_ITEM CSL_CITATION {"citationID":"RC8GB2ab","properties":{"formattedCitation":"(Kingry and Petersen 2014)","plainCitation":"(Kingry and Petersen 2014)","noteIndex":0},"citationItems":[{"id":236,"uris":["http://zotero.org/users/10474456/items/6UGD5D7I"],"itemData":{"id":236,"type":"article-journal","abstract":"Francisella tularensis is the causative agent of the acute disease tularemia. Due to its extreme infectivity and ability to cause disease upon inhalation, F. tularensis has been classified as a biothreat agent. Two subspecies of F. tularensis, tularensis and holarctica, are responsible for tularemia in humans. In comparison, the closely related species F. novicida very rarely causes human illness and cases that do occur are associated with patients who are immune compromised or have other underlying health problems. Virulence between F. tularensis and F. novicida also differs in laboratory animals. Despite this varying capacity to cause disease, the two species share ~97% nucleotide identity, with F. novicida commonly used as a laboratory surrogate for F. tularensis. As the F. novicida U112 strain is exempt from U.S. select agent regulations, research studies can be carried out in non-registered laboratories lacking specialized containment facilities required for work with virulent F. tularensis strains. This review is designed to highlight phenotypic (clinical, ecological, virulence, and pathogenic) and genomic differences between F. tularensis and F. novicida that warrant maintaining F. novicida and F. tularensis as separate species. Standardized nomenclature for F. novicida is critical for accurate interpretation of experimental results, limiting clinical confusion between F. novicida and F. tularensis and ensuring treatment efficacy studies utilize virulent F. tularensis strains.","container-title":"Frontiers in Cellular and Infection Microbiology","DOI":"10.3389/fcimb.2014.00035","ISSN":"2235-2988","journalAbbreviation":"Front Cell Infect Microbiol","note":"PMID: 24660164\nPMCID: PMC3952080","page":"35","source":"PubMed Central","title":"Comparative review of Francisella tularensis and Francisella novicida","volume":"4","author":[{"family":"Kingry","given":"Luke C."},{"family":"Petersen","given":"Jeannine M."}],"issued":{"date-parts":[["2014",3,13]]}}}],"schema":"https://github.com/citation-style-language/schema/raw/master/csl-citation.json"} </w:instrText>
      </w:r>
      <w:r w:rsidR="00985F1C">
        <w:fldChar w:fldCharType="separate"/>
      </w:r>
      <w:r w:rsidR="00985F1C" w:rsidRPr="00985F1C">
        <w:rPr>
          <w:rFonts w:cs="Arial"/>
        </w:rPr>
        <w:t>(Kingry and Petersen 2014)</w:t>
      </w:r>
      <w:r w:rsidR="00985F1C">
        <w:fldChar w:fldCharType="end"/>
      </w:r>
      <w:r w:rsidR="001258D9">
        <w:t>.</w:t>
      </w:r>
    </w:p>
    <w:p w14:paraId="08760BCC" w14:textId="1BFDE56B" w:rsidR="00985F1C" w:rsidRPr="00985F1C" w:rsidRDefault="00400ACC" w:rsidP="00E8328A">
      <w:pPr>
        <w:spacing w:line="480" w:lineRule="auto"/>
        <w:ind w:firstLine="450"/>
        <w:jc w:val="both"/>
      </w:pPr>
      <w:r>
        <w:t>T</w:t>
      </w:r>
      <w:r w:rsidR="00D35E76" w:rsidRPr="00671685">
        <w:t xml:space="preserve">hree strains of </w:t>
      </w:r>
      <w:r w:rsidR="00D35E76" w:rsidRPr="00671685">
        <w:rPr>
          <w:i/>
          <w:iCs/>
        </w:rPr>
        <w:t xml:space="preserve">F. tularensis </w:t>
      </w:r>
      <w:r w:rsidRPr="0091565C">
        <w:t xml:space="preserve">are </w:t>
      </w:r>
      <w:r w:rsidR="00D35E76" w:rsidRPr="00671685">
        <w:t>commonly u</w:t>
      </w:r>
      <w:r w:rsidR="00FD5025">
        <w:t>sed</w:t>
      </w:r>
      <w:r w:rsidR="00D35E76" w:rsidRPr="00671685">
        <w:t xml:space="preserve"> </w:t>
      </w:r>
      <w:r>
        <w:t xml:space="preserve">in </w:t>
      </w:r>
      <w:r w:rsidR="00FD5025">
        <w:t xml:space="preserve">laboratory </w:t>
      </w:r>
      <w:r w:rsidR="00D35E76" w:rsidRPr="00671685">
        <w:t>research. The</w:t>
      </w:r>
      <w:r w:rsidR="00FD5025">
        <w:t>y</w:t>
      </w:r>
      <w:r w:rsidR="00D35E76" w:rsidRPr="00671685">
        <w:t xml:space="preserve"> </w:t>
      </w:r>
      <w:r w:rsidR="00221104">
        <w:t>are the highly pathogenic</w:t>
      </w:r>
      <w:r w:rsidR="00D35E76" w:rsidRPr="00671685">
        <w:t xml:space="preserve"> </w:t>
      </w:r>
      <w:r w:rsidR="00D35E76" w:rsidRPr="00671685">
        <w:rPr>
          <w:i/>
          <w:iCs/>
        </w:rPr>
        <w:t>F. tularensis</w:t>
      </w:r>
      <w:r w:rsidR="00D35E76" w:rsidRPr="00671685">
        <w:t xml:space="preserve"> subsp. </w:t>
      </w:r>
      <w:r w:rsidR="00D35E76" w:rsidRPr="00671685">
        <w:rPr>
          <w:i/>
          <w:iCs/>
        </w:rPr>
        <w:t>tularensis</w:t>
      </w:r>
      <w:r w:rsidR="00D35E76" w:rsidRPr="00671685">
        <w:t xml:space="preserve"> </w:t>
      </w:r>
      <w:r w:rsidR="00FD5025" w:rsidRPr="00671685">
        <w:t>S</w:t>
      </w:r>
      <w:r w:rsidR="00FD5025">
        <w:t>CHU</w:t>
      </w:r>
      <w:r w:rsidR="00FD5025" w:rsidRPr="00671685">
        <w:t xml:space="preserve"> </w:t>
      </w:r>
      <w:r w:rsidR="00D35E76" w:rsidRPr="00671685">
        <w:t>S4</w:t>
      </w:r>
      <w:r w:rsidR="001858D0">
        <w:t>;</w:t>
      </w:r>
      <w:r w:rsidR="00D35E76" w:rsidRPr="00671685">
        <w:t xml:space="preserve"> </w:t>
      </w:r>
      <w:r w:rsidRPr="00671685">
        <w:rPr>
          <w:i/>
          <w:iCs/>
        </w:rPr>
        <w:t>F. tularensis</w:t>
      </w:r>
      <w:r w:rsidRPr="00671685">
        <w:t xml:space="preserve"> subsp. </w:t>
      </w:r>
      <w:r w:rsidRPr="00671685">
        <w:rPr>
          <w:i/>
          <w:iCs/>
        </w:rPr>
        <w:t>holarctica</w:t>
      </w:r>
      <w:r w:rsidRPr="00671685">
        <w:t xml:space="preserve"> LVS (live vaccine strain)</w:t>
      </w:r>
      <w:r>
        <w:t xml:space="preserve">, which is </w:t>
      </w:r>
      <w:r w:rsidR="00221104">
        <w:t>a strain attenuated for virulence in humans</w:t>
      </w:r>
      <w:r w:rsidR="001858D0">
        <w:t>;</w:t>
      </w:r>
      <w:r w:rsidR="00221104">
        <w:t xml:space="preserve"> and a strain from related species that is not infectious to humans, </w:t>
      </w:r>
      <w:r w:rsidR="00221104" w:rsidRPr="00671685">
        <w:rPr>
          <w:i/>
          <w:iCs/>
        </w:rPr>
        <w:t>F</w:t>
      </w:r>
      <w:r w:rsidR="00E9004B">
        <w:rPr>
          <w:i/>
          <w:iCs/>
        </w:rPr>
        <w:t>rancisella</w:t>
      </w:r>
      <w:r w:rsidR="00221104" w:rsidRPr="00671685">
        <w:rPr>
          <w:i/>
          <w:iCs/>
        </w:rPr>
        <w:t xml:space="preserve"> novicida</w:t>
      </w:r>
      <w:r w:rsidR="00221104" w:rsidRPr="00671685">
        <w:t xml:space="preserve"> U112</w:t>
      </w:r>
      <w:r w:rsidR="00E8328A">
        <w:t xml:space="preserve">. </w:t>
      </w:r>
    </w:p>
    <w:p w14:paraId="07DB25F1" w14:textId="0DDB2E34" w:rsidR="003147AE" w:rsidRDefault="00985F1C" w:rsidP="003147AE">
      <w:pPr>
        <w:spacing w:line="480" w:lineRule="auto"/>
        <w:ind w:firstLine="450"/>
        <w:jc w:val="both"/>
      </w:pPr>
      <w:r w:rsidRPr="00671685">
        <w:rPr>
          <w:i/>
          <w:iCs/>
        </w:rPr>
        <w:t xml:space="preserve">F. tularensis </w:t>
      </w:r>
      <w:r w:rsidR="00221104" w:rsidRPr="001258D9">
        <w:t>subsp.</w:t>
      </w:r>
      <w:r w:rsidR="00221104">
        <w:rPr>
          <w:i/>
          <w:iCs/>
        </w:rPr>
        <w:t xml:space="preserve"> tularensis </w:t>
      </w:r>
      <w:r w:rsidRPr="00671685">
        <w:t>S</w:t>
      </w:r>
      <w:r>
        <w:t>CHU</w:t>
      </w:r>
      <w:r w:rsidRPr="00671685">
        <w:t xml:space="preserve"> S4</w:t>
      </w:r>
      <w:r w:rsidR="00D63E52" w:rsidRPr="00671685">
        <w:t xml:space="preserve"> </w:t>
      </w:r>
      <w:r w:rsidR="005D69A4">
        <w:t>is highly virulent strain</w:t>
      </w:r>
      <w:r w:rsidR="00AB54AA">
        <w:t xml:space="preserve"> derived from a clinical sample from an infected finger</w:t>
      </w:r>
      <w:r w:rsidR="00915DFA" w:rsidRPr="00671685" w:rsidDel="00915DFA">
        <w:t xml:space="preserve"> </w:t>
      </w:r>
      <w:r w:rsidR="00AB54AA">
        <w:fldChar w:fldCharType="begin"/>
      </w:r>
      <w:r w:rsidR="00AB54AA">
        <w:instrText xml:space="preserve"> ADDIN ZOTERO_ITEM CSL_CITATION {"citationID":"Mim043u1","properties":{"formattedCitation":"(Eigelsbach, Braun, and Herring 1951; Hesselbrock and Foshay 1945)","plainCitation":"(Eigelsbach, Braun, and Herring 1951; Hesselbrock and Foshay 1945)","noteIndex":0},"citationItems":[{"id":375,"uris":["http://zotero.org/users/10474456/items/H7LXH3XU"],"itemData":{"id":375,"type":"article-journal","abstract":"Images\nnull","container-title":"Journal of Bacteriology","ISSN":"0021-9193","issue":"5","journalAbbreviation":"J Bacteriol","note":"PMID: 14832199\nPMCID: PMC386045","page":"557-569","source":"PubMed Central","title":"STUDIES ON THE VARIATION OF BACTERIUM TULARENSE","volume":"61","author":[{"family":"Eigelsbach","given":"H. T."},{"family":"Braun","given":"Werner"},{"family":"Herring","given":"Ruth D."}],"issued":{"date-parts":[["1951",5]]}}},{"id":378,"uris":["http://zotero.org/users/10474456/items/MQGXBVHW"],"itemData":{"id":378,"type":"article-journal","container-title":"Journal of Bacteriology","DOI":"10.1128/jb.49.3.209-231.1945","ISSN":"0021-9193","issue":"3","journalAbbreviation":"J Bacteriol","language":"eng","note":"PMID: 16560913\nPMCID: PMC374032","page":"209-231","source":"PubMed","title":"The Morphology of Bacterium tularense","volume":"49","author":[{"family":"Hesselbrock","given":"W."},{"family":"Foshay","given":"L."}],"issued":{"date-parts":[["1945",3]]}}}],"schema":"https://github.com/citation-style-language/schema/raw/master/csl-citation.json"} </w:instrText>
      </w:r>
      <w:r w:rsidR="00AB54AA">
        <w:fldChar w:fldCharType="separate"/>
      </w:r>
      <w:r w:rsidR="00AB54AA" w:rsidRPr="00AB54AA">
        <w:rPr>
          <w:rFonts w:cs="Arial"/>
        </w:rPr>
        <w:t>(Eigelsbach, Braun, and Herring 1951; Hesselbrock and Foshay 1945)</w:t>
      </w:r>
      <w:r w:rsidR="00AB54AA">
        <w:fldChar w:fldCharType="end"/>
      </w:r>
      <w:r w:rsidR="00AB54AA">
        <w:t>.</w:t>
      </w:r>
      <w:r w:rsidR="00D63E52" w:rsidRPr="00671685">
        <w:t xml:space="preserve"> </w:t>
      </w:r>
      <w:r w:rsidR="00B03DF2">
        <w:t xml:space="preserve">Like all </w:t>
      </w:r>
      <w:r w:rsidR="00B03DF2" w:rsidRPr="0091565C">
        <w:rPr>
          <w:i/>
          <w:iCs/>
        </w:rPr>
        <w:t>F. tularensis</w:t>
      </w:r>
      <w:r w:rsidR="00B03DF2">
        <w:t xml:space="preserve"> species</w:t>
      </w:r>
      <w:r w:rsidR="002A0C0B">
        <w:t>, it</w:t>
      </w:r>
      <w:r w:rsidR="00915DFA">
        <w:t>s genome contains</w:t>
      </w:r>
      <w:r w:rsidR="00D63E52" w:rsidRPr="00671685">
        <w:t xml:space="preserve"> two copies of the </w:t>
      </w:r>
      <w:r w:rsidR="00B03DF2">
        <w:t xml:space="preserve">Francisella Pathogenicity Island (FPI), which encodes a </w:t>
      </w:r>
      <w:r w:rsidR="00D63E52" w:rsidRPr="00671685">
        <w:t>type VI secretion system (T6SS)</w:t>
      </w:r>
      <w:r w:rsidR="00B03DF2">
        <w:t xml:space="preserve"> that is critical for </w:t>
      </w:r>
      <w:r w:rsidR="00D63E52" w:rsidRPr="00671685">
        <w:t xml:space="preserve">virulence </w:t>
      </w:r>
      <w:r w:rsidR="00AB54AA">
        <w:fldChar w:fldCharType="begin"/>
      </w:r>
      <w:r w:rsidR="00AB54AA">
        <w:instrText xml:space="preserve"> ADDIN ZOTERO_ITEM CSL_CITATION {"citationID":"ifehPSyD","properties":{"formattedCitation":"(Bell, Owen, and Larson 1955)","plainCitation":"(Bell, Owen, and Larson 1955)","noteIndex":0},"citationItems":[{"id":274,"uris":["http://zotero.org/users/10474456/items/FK97RRK4"],"itemData":{"id":274,"type":"article-journal","container-title":"The Journal of Infectious Diseases","DOI":"10.1093/infdis/97.2.162","ISSN":"0022-1899","issue":"2","journalAbbreviation":"The Journal of Infectious Diseases","page":"162-166","source":"Silverchair","title":"Virulence of Bacterium Tularense I. A Study of the Virulence of Bacterium Tularense in Mice, Guinea Pigs, and Rabbits","volume":"97","author":[{"family":"Bell","given":"J. Frederick"},{"family":"Owen","given":"Cora R."},{"family":"Larson","given":"Carl L."}],"issued":{"date-parts":[["1955",9,1]]}}}],"schema":"https://github.com/citation-style-language/schema/raw/master/csl-citation.json"} </w:instrText>
      </w:r>
      <w:r w:rsidR="00AB54AA">
        <w:fldChar w:fldCharType="separate"/>
      </w:r>
      <w:r w:rsidR="00AB54AA" w:rsidRPr="00AB54AA">
        <w:rPr>
          <w:rFonts w:cs="Arial"/>
        </w:rPr>
        <w:t>(Bell, Owen, and Larson 1955)</w:t>
      </w:r>
      <w:r w:rsidR="00AB54AA">
        <w:fldChar w:fldCharType="end"/>
      </w:r>
      <w:r w:rsidR="00D63E52" w:rsidRPr="00671685">
        <w:t>.</w:t>
      </w:r>
      <w:r w:rsidR="00AB54AA">
        <w:t xml:space="preserve"> </w:t>
      </w:r>
      <w:r w:rsidR="002A0C0B">
        <w:t xml:space="preserve">In addition, the SCHU S4 genome was the first </w:t>
      </w:r>
      <w:r w:rsidR="002A0C0B">
        <w:rPr>
          <w:i/>
          <w:iCs/>
        </w:rPr>
        <w:t xml:space="preserve">F. </w:t>
      </w:r>
      <w:r w:rsidR="002A0C0B" w:rsidRPr="002A0C0B">
        <w:rPr>
          <w:i/>
          <w:iCs/>
        </w:rPr>
        <w:t>tularensis</w:t>
      </w:r>
      <w:r w:rsidR="00D46ECA">
        <w:t xml:space="preserve"> strain to </w:t>
      </w:r>
      <w:r w:rsidR="001858D0">
        <w:t>be</w:t>
      </w:r>
      <w:r w:rsidR="00D46ECA">
        <w:t xml:space="preserve"> fully sequenced. </w:t>
      </w:r>
      <w:r w:rsidR="00B03DF2">
        <w:t xml:space="preserve">While it is highly pathogenic, making it an </w:t>
      </w:r>
      <w:r w:rsidR="00D46ECA">
        <w:t xml:space="preserve">ideal model for </w:t>
      </w:r>
      <w:r w:rsidR="00B03DF2">
        <w:t xml:space="preserve">research regarding </w:t>
      </w:r>
      <w:r w:rsidR="00B03DF2" w:rsidRPr="00A1374A">
        <w:rPr>
          <w:i/>
          <w:iCs/>
        </w:rPr>
        <w:t>F. tularensis</w:t>
      </w:r>
      <w:r w:rsidR="00B03DF2">
        <w:t xml:space="preserve"> virulence, it is also </w:t>
      </w:r>
      <w:r w:rsidR="001258D9">
        <w:t>classifi</w:t>
      </w:r>
      <w:r w:rsidR="00B03DF2">
        <w:t>ed</w:t>
      </w:r>
      <w:r w:rsidR="001258D9">
        <w:t xml:space="preserve"> as a select agent</w:t>
      </w:r>
      <w:r w:rsidR="00D46ECA">
        <w:t xml:space="preserve">. </w:t>
      </w:r>
      <w:r w:rsidR="00B03DF2">
        <w:t>Thus,</w:t>
      </w:r>
      <w:r w:rsidR="00D46ECA">
        <w:t xml:space="preserve"> in order to prevent lab</w:t>
      </w:r>
      <w:r w:rsidR="00B03DF2">
        <w:t>oratory-</w:t>
      </w:r>
      <w:r w:rsidR="00D46ECA">
        <w:t>acquired infections,</w:t>
      </w:r>
      <w:r w:rsidR="001258D9">
        <w:t xml:space="preserve"> </w:t>
      </w:r>
      <w:r w:rsidR="00AB54AA">
        <w:t xml:space="preserve">BSL-3 </w:t>
      </w:r>
      <w:r w:rsidR="00D46ECA">
        <w:t xml:space="preserve">safety measures must be </w:t>
      </w:r>
      <w:r w:rsidR="00B03DF2">
        <w:t xml:space="preserve">used </w:t>
      </w:r>
      <w:r w:rsidR="00AB54AA">
        <w:t>in order to study it</w:t>
      </w:r>
      <w:r w:rsidR="00B03DF2">
        <w:t xml:space="preserve"> safely</w:t>
      </w:r>
      <w:r w:rsidR="00AB54AA">
        <w:t xml:space="preserve">. </w:t>
      </w:r>
    </w:p>
    <w:p w14:paraId="69BA50E6" w14:textId="0AC91FAA" w:rsidR="0044089A" w:rsidRDefault="00D46ECA" w:rsidP="00985F1C">
      <w:pPr>
        <w:spacing w:line="480" w:lineRule="auto"/>
        <w:ind w:firstLine="450"/>
        <w:jc w:val="both"/>
      </w:pPr>
      <w:r w:rsidRPr="00D46ECA">
        <w:t>Unlike SCHU S4,</w:t>
      </w:r>
      <w:r w:rsidRPr="0091565C">
        <w:rPr>
          <w:i/>
          <w:iCs/>
        </w:rPr>
        <w:t xml:space="preserve"> </w:t>
      </w:r>
      <w:r w:rsidR="00D63E52" w:rsidRPr="00671685">
        <w:rPr>
          <w:i/>
          <w:iCs/>
        </w:rPr>
        <w:t xml:space="preserve">F. novicida </w:t>
      </w:r>
      <w:r w:rsidR="00D63E52" w:rsidRPr="00671685">
        <w:t xml:space="preserve">U112 </w:t>
      </w:r>
      <w:r>
        <w:t>doe</w:t>
      </w:r>
      <w:r w:rsidR="003147AE">
        <w:t>s</w:t>
      </w:r>
      <w:r>
        <w:t xml:space="preserve"> not cau</w:t>
      </w:r>
      <w:r w:rsidR="003147AE">
        <w:t>s</w:t>
      </w:r>
      <w:r>
        <w:t>e</w:t>
      </w:r>
      <w:r w:rsidR="003147AE">
        <w:t xml:space="preserve"> </w:t>
      </w:r>
      <w:r>
        <w:t xml:space="preserve">human disease and is only </w:t>
      </w:r>
      <w:r w:rsidR="00B03DF2">
        <w:t xml:space="preserve">pathogenic </w:t>
      </w:r>
      <w:r>
        <w:t>in animal hosts</w:t>
      </w:r>
      <w:r w:rsidR="003147AE">
        <w:t xml:space="preserve">. </w:t>
      </w:r>
      <w:r w:rsidR="00B03DF2">
        <w:t xml:space="preserve">Unlike </w:t>
      </w:r>
      <w:r w:rsidR="00B03DF2" w:rsidRPr="0091565C">
        <w:rPr>
          <w:i/>
          <w:iCs/>
        </w:rPr>
        <w:t>F. tularensis</w:t>
      </w:r>
      <w:r w:rsidR="00B03DF2">
        <w:t xml:space="preserve"> species</w:t>
      </w:r>
      <w:r w:rsidR="003147AE">
        <w:t xml:space="preserve">, </w:t>
      </w:r>
      <w:r w:rsidR="00B03DF2" w:rsidRPr="00671685">
        <w:t xml:space="preserve">U112 </w:t>
      </w:r>
      <w:r w:rsidR="00D63E52" w:rsidRPr="00671685">
        <w:t xml:space="preserve">has a single copy of </w:t>
      </w:r>
      <w:r w:rsidR="00AB54AA">
        <w:t xml:space="preserve">the </w:t>
      </w:r>
      <w:r w:rsidR="00B03DF2">
        <w:t>FPI, making</w:t>
      </w:r>
      <w:r w:rsidR="00B03DF2" w:rsidRPr="00671685">
        <w:t xml:space="preserve"> </w:t>
      </w:r>
      <w:r w:rsidR="00B03DF2">
        <w:t>it</w:t>
      </w:r>
      <w:r w:rsidR="00B03DF2" w:rsidRPr="00671685">
        <w:t xml:space="preserve"> </w:t>
      </w:r>
      <w:r w:rsidR="00B03DF2">
        <w:t xml:space="preserve">a </w:t>
      </w:r>
      <w:r w:rsidR="00915DFA">
        <w:t>tractable</w:t>
      </w:r>
      <w:r w:rsidR="00B03DF2">
        <w:t xml:space="preserve"> model system</w:t>
      </w:r>
      <w:r w:rsidR="00D63E52" w:rsidRPr="00671685">
        <w:t xml:space="preserve"> for genetic studies of the </w:t>
      </w:r>
      <w:r w:rsidR="00B03DF2">
        <w:t xml:space="preserve">FPI. However, it is not an ideal </w:t>
      </w:r>
      <w:r w:rsidR="00D63E52" w:rsidRPr="00671685">
        <w:t>model for human virulence</w:t>
      </w:r>
      <w:r w:rsidR="001258D9">
        <w:t xml:space="preserve">, </w:t>
      </w:r>
      <w:r>
        <w:t xml:space="preserve">as it </w:t>
      </w:r>
      <w:r w:rsidR="001258D9">
        <w:t>does not infect immun</w:t>
      </w:r>
      <w:r w:rsidR="00530079">
        <w:t>o</w:t>
      </w:r>
      <w:r w:rsidR="001258D9">
        <w:t xml:space="preserve">competent </w:t>
      </w:r>
      <w:r w:rsidR="001858D0">
        <w:t>individuals</w:t>
      </w:r>
      <w:r w:rsidR="00530079" w:rsidRPr="00671685">
        <w:t xml:space="preserve"> </w:t>
      </w:r>
      <w:r w:rsidR="00D63E52" w:rsidRPr="00671685">
        <w:fldChar w:fldCharType="begin"/>
      </w:r>
      <w:r w:rsidR="000F369F">
        <w:instrText xml:space="preserve"> ADDIN ZOTERO_ITEM CSL_CITATION {"citationID":"zK8D0JYJ","properties":{"formattedCitation":"(Kingry and Petersen 2014; Nano et al. 2004)","plainCitation":"(Kingry and Petersen 2014; Nano et al. 2004)","noteIndex":0},"citationItems":[{"id":236,"uris":["http://zotero.org/users/10474456/items/6UGD5D7I"],"itemData":{"id":236,"type":"article-journal","abstract":"Francisella tularensis is the causative agent of the acute disease tularemia. Due to its extreme infectivity and ability to cause disease upon inhalation, F. tularensis has been classified as a biothreat agent. Two subspecies of F. tularensis, tularensis and holarctica, are responsible for tularemia in humans. In comparison, the closely related species F. novicida very rarely causes human illness and cases that do occur are associated with patients who are immune compromised or have other underlying health problems. Virulence between F. tularensis and F. novicida also differs in laboratory animals. Despite this varying capacity to cause disease, the two species share ~97% nucleotide identity, with F. novicida commonly used as a laboratory surrogate for F. tularensis. As the F. novicida U112 strain is exempt from U.S. select agent regulations, research studies can be carried out in non-registered laboratories lacking specialized containment facilities required for work with virulent F. tularensis strains. This review is designed to highlight phenotypic (clinical, ecological, virulence, and pathogenic) and genomic differences between F. tularensis and F. novicida that warrant maintaining F. novicida and F. tularensis as separate species. Standardized nomenclature for F. novicida is critical for accurate interpretation of experimental results, limiting clinical confusion between F. novicida and F. tularensis and ensuring treatment efficacy studies utilize virulent F. tularensis strains.","container-title":"Frontiers in Cellular and Infection Microbiology","DOI":"10.3389/fcimb.2014.00035","ISSN":"2235-2988","journalAbbreviation":"Front Cell Infect Microbiol","note":"PMID: 24660164\nPMCID: PMC3952080","page":"35","source":"PubMed Central","title":"Comparative review of Francisella tularensis and Francisella novicida","volume":"4","author":[{"family":"Kingry","given":"Luke C."},{"family":"Petersen","given":"Jeannine M."}],"issued":{"date-parts":[["2014",3,13]]}}},{"id":117,"uris":["http://zotero.org/users/10474456/items/X3SR8BSM"],"itemData":{"id":117,"type":"article-journal","abstract":"Francisella tularensis is a gram-negative, facultative intracellular pathogen that causes the highly infectious zoonotic disease tularemia. We have discovered a ca. 30-kb pathogenicity island of F. tularensis (FPI) that includes four large open reading frames (ORFs) of 2.5 to 3.9 kb and 13 ORFs of 1.5 kb or smaller. Previously, two small genes located near the center of the FPI were shown to be needed for intramacrophage growth. In this work we show that two of the large ORFs, located toward the ends of the FPI, are needed for virulence. Although most genes in the FPI encode proteins with amino acid sequences that are highly conserved between high- and low-virulence strains, one of the FPI genes is present in highly virulent type A F. tularensis, absent in moderately virulent type B F. tularensis, and altered in F. tularensis subsp. novicida, which is highly virulent for mice but avirulent for humans. The G+C content of a 17.7-kb stretch of the FPI is 26.6%, which is 6.6% below the average G+C content of the F. tularensis genome. This extremely low G+C content suggests that the DNA was imported from a microbe with a very low G+C-containing chromosome.","container-title":"Journal of Bacteriology","DOI":"10.1128/JB.186.19.6430-6436.2004","issue":"19","note":"publisher: American Society for Microbiology","page":"6430-6436","source":"journals.asm.org (Atypon)","title":"A Francisella tularensis Pathogenicity Island Required for Intramacrophage Growth","volume":"186","author":[{"family":"Nano","given":"Francis E."},{"family":"Zhang","given":"Na"},{"family":"Cowley","given":"Siobhán C."},{"family":"Klose","given":"Karl E."},{"family":"Cheung","given":"Karen K. M."},{"family":"Roberts","given":"Michael J."},{"family":"Ludu","given":"Jagjit S."},{"family":"Letendre","given":"Gregg W."},{"family":"Meierovics","given":"Anda I."},{"family":"Stephens","given":"Gwen"},{"family":"Elkins","given":"Karen L."}],"issued":{"date-parts":[["2004",10]]}}}],"schema":"https://github.com/citation-style-language/schema/raw/master/csl-citation.json"} </w:instrText>
      </w:r>
      <w:r w:rsidR="00D63E52" w:rsidRPr="00671685">
        <w:fldChar w:fldCharType="separate"/>
      </w:r>
      <w:r w:rsidR="000F369F" w:rsidRPr="000F369F">
        <w:rPr>
          <w:rFonts w:cs="Arial"/>
        </w:rPr>
        <w:t>(Kingry and Petersen 2014; Nano et al. 2004)</w:t>
      </w:r>
      <w:r w:rsidR="00D63E52" w:rsidRPr="00671685">
        <w:fldChar w:fldCharType="end"/>
      </w:r>
      <w:r w:rsidR="00D63E52" w:rsidRPr="00671685">
        <w:t xml:space="preserve">. </w:t>
      </w:r>
    </w:p>
    <w:p w14:paraId="629DB711" w14:textId="378FC9D1" w:rsidR="00E8328A" w:rsidRPr="00671685" w:rsidRDefault="00E8328A" w:rsidP="00985F1C">
      <w:pPr>
        <w:spacing w:line="480" w:lineRule="auto"/>
        <w:ind w:firstLine="450"/>
        <w:jc w:val="both"/>
      </w:pPr>
      <w:r>
        <w:rPr>
          <w:i/>
          <w:iCs/>
        </w:rPr>
        <w:lastRenderedPageBreak/>
        <w:t xml:space="preserve">F. tularensis </w:t>
      </w:r>
      <w:r>
        <w:t xml:space="preserve">subsp. </w:t>
      </w:r>
      <w:r>
        <w:rPr>
          <w:i/>
          <w:iCs/>
        </w:rPr>
        <w:t xml:space="preserve">holarctica </w:t>
      </w:r>
      <w:r>
        <w:t xml:space="preserve">LVS is a </w:t>
      </w:r>
      <w:r w:rsidR="00530079">
        <w:t xml:space="preserve">strain which is </w:t>
      </w:r>
      <w:r>
        <w:t xml:space="preserve">attenuated </w:t>
      </w:r>
      <w:r w:rsidR="00530079">
        <w:t xml:space="preserve">for virulence in humans and was </w:t>
      </w:r>
      <w:r>
        <w:t>originally developed as a vaccin</w:t>
      </w:r>
      <w:r w:rsidR="003C6C5B">
        <w:t>e</w:t>
      </w:r>
      <w:r>
        <w:t xml:space="preserve">. Importantly, it </w:t>
      </w:r>
      <w:r w:rsidR="00E9004B">
        <w:t>has</w:t>
      </w:r>
      <w:r w:rsidR="00E9004B" w:rsidRPr="00671685">
        <w:t xml:space="preserve"> the ability to infect macrophage</w:t>
      </w:r>
      <w:r w:rsidR="00E9004B" w:rsidDel="00E9004B">
        <w:t xml:space="preserve"> </w:t>
      </w:r>
      <w:r w:rsidR="00E9004B">
        <w:t xml:space="preserve">and </w:t>
      </w:r>
      <w:r>
        <w:t>caus</w:t>
      </w:r>
      <w:r w:rsidR="00E9004B">
        <w:t>e disease</w:t>
      </w:r>
      <w:r>
        <w:t xml:space="preserve"> in animal models</w:t>
      </w:r>
      <w:r w:rsidR="000F2B9C">
        <w:t>,</w:t>
      </w:r>
      <w:r w:rsidR="007850D7">
        <w:t xml:space="preserve"> but can be </w:t>
      </w:r>
      <w:r w:rsidR="00A37246">
        <w:t xml:space="preserve">safely </w:t>
      </w:r>
      <w:r w:rsidR="007850D7">
        <w:t xml:space="preserve">used in </w:t>
      </w:r>
      <w:r w:rsidR="00A37246">
        <w:t>BSL2</w:t>
      </w:r>
      <w:r w:rsidR="007850D7">
        <w:t xml:space="preserve"> laboratory </w:t>
      </w:r>
      <w:r w:rsidR="00A37246">
        <w:t>settings</w:t>
      </w:r>
      <w:r w:rsidRPr="00671685">
        <w:t>. Despite attenuation, it remains highly related to similar virulent strains</w:t>
      </w:r>
      <w:r w:rsidR="00A37246">
        <w:t>;</w:t>
      </w:r>
      <w:r w:rsidRPr="00671685">
        <w:t xml:space="preserve"> </w:t>
      </w:r>
      <w:r>
        <w:t xml:space="preserve">the </w:t>
      </w:r>
      <w:r w:rsidR="003C6C5B">
        <w:t xml:space="preserve">LVS </w:t>
      </w:r>
      <w:r>
        <w:t xml:space="preserve">genome </w:t>
      </w:r>
      <w:r w:rsidR="003C6C5B">
        <w:t>has</w:t>
      </w:r>
      <w:r w:rsidRPr="00671685">
        <w:t xml:space="preserve"> </w:t>
      </w:r>
      <w:r w:rsidR="003C6C5B">
        <w:t xml:space="preserve">mutations in </w:t>
      </w:r>
      <w:r w:rsidRPr="00671685">
        <w:t>35 protein coding region</w:t>
      </w:r>
      <w:r w:rsidR="003C6C5B">
        <w:t>s</w:t>
      </w:r>
      <w:r w:rsidRPr="00671685">
        <w:t xml:space="preserve"> </w:t>
      </w:r>
      <w:r>
        <w:t>compared to</w:t>
      </w:r>
      <w:r w:rsidR="003C6C5B">
        <w:t xml:space="preserve"> </w:t>
      </w:r>
      <w:r w:rsidR="007850D7">
        <w:t xml:space="preserve">a </w:t>
      </w:r>
      <w:r w:rsidR="003C6C5B">
        <w:t>pathogenic</w:t>
      </w:r>
      <w:r>
        <w:t xml:space="preserve"> </w:t>
      </w:r>
      <w:r>
        <w:rPr>
          <w:i/>
          <w:iCs/>
        </w:rPr>
        <w:t xml:space="preserve">F. tularensis </w:t>
      </w:r>
      <w:r>
        <w:t xml:space="preserve">subsp. </w:t>
      </w:r>
      <w:r>
        <w:rPr>
          <w:i/>
          <w:iCs/>
        </w:rPr>
        <w:t xml:space="preserve">holarctica </w:t>
      </w:r>
      <w:r>
        <w:t>strain</w:t>
      </w:r>
      <w:r w:rsidR="007850D7">
        <w:t>,</w:t>
      </w:r>
      <w:r>
        <w:t xml:space="preserve"> </w:t>
      </w:r>
      <w:r w:rsidRPr="00B80095">
        <w:t>FSC200</w:t>
      </w:r>
      <w:r w:rsidRPr="00671685">
        <w:t xml:space="preserve">. </w:t>
      </w:r>
      <w:r w:rsidRPr="001258D9">
        <w:t xml:space="preserve">The majority of these differences are single nucleotide polymorphisms, SNPs, leading to loss </w:t>
      </w:r>
      <w:r w:rsidR="00915DFA">
        <w:t xml:space="preserve">or </w:t>
      </w:r>
      <w:r w:rsidRPr="001258D9">
        <w:t xml:space="preserve">impaired function of 15 proteins </w:t>
      </w:r>
      <w:r w:rsidRPr="001258D9">
        <w:fldChar w:fldCharType="begin"/>
      </w:r>
      <w:r w:rsidRPr="001258D9">
        <w:instrText xml:space="preserve"> ADDIN ZOTERO_ITEM CSL_CITATION {"citationID":"4vi0h7Um","properties":{"formattedCitation":"(Rohmer et al. 2006)","plainCitation":"(Rohmer et al. 2006)","noteIndex":0},"citationItems":[{"id":276,"uris":["http://zotero.org/users/10474456/items/YX7KBWYF"],"itemData":{"id":276,"type":"article-journal","abstract":"Francisella tularensis is a bacterial pathogen that causes the zoonotic disease tularemia and is important to biodefense. Currently, the only vaccine known to confer protection against tularemia is a specific live vaccine strain (designated LVS) derived from a virulent isolate of Francisella tularensis subsp. holarctica. The origin and source of attenuation of this strain are not known. To assist with the design of a defined live vaccine strain, we sought to determine the genetic basis of the attenuation of LVS. This analysis relied primarily on the comparison between the genome of LVS and Francisella tularensis holarctica strain FSC200, which differ by only 0.08% of their nucleotide sequences. Under the assumption that the attenuation was due to a loss of function(s), only coding regions were examined in this comparison. To complement this analysis, the coding regions of two slightly more distantly related Francisella tularensis strains were also compared against the LVS coding regions. Thirty-five genes show unique sequence variations predicted to alter the protein sequence in LVS compared to the other Francisella tularensis strains. Due to these polymorphisms, the functions of 15 of these genes are very likely lost or impaired. Seven of these genes were demonstrated to be under stronger selective constraints, suggesting that they are the most probable to be the source of LVS attenuation and useful for a newly defined vaccine.","container-title":"Infection and Immunity","DOI":"10.1128/iai.01006-06","issue":"12","note":"publisher: American Society for Microbiology","page":"6895-6906","source":"journals.asm.org (Atypon)","title":"Potential Source of Francisella tularensis Live Vaccine Strain Attenuation Determined by Genome Comparison","volume":"74","author":[{"family":"Rohmer","given":"Laurence"},{"family":"Brittnacher","given":"Mitchell"},{"family":"Svensson","given":"Kerstin"},{"family":"Buckley","given":"Danielle"},{"family":"Haugen","given":"Eric"},{"family":"Zhou","given":"Yang"},{"family":"Chang","given":"Jean"},{"family":"Levy","given":"Ruth"},{"family":"Hayden","given":"Hillary"},{"family":"Forsman","given":"Mats"},{"family":"Olson","given":"Maynard"},{"family":"Johansson","given":"Anders"},{"family":"Kaul","given":"Rajinder"},{"family":"Miller","given":"Samuel I."}],"issued":{"date-parts":[["2006",12]]}}}],"schema":"https://github.com/citation-style-language/schema/raw/master/csl-citation.json"} </w:instrText>
      </w:r>
      <w:r w:rsidRPr="001258D9">
        <w:fldChar w:fldCharType="separate"/>
      </w:r>
      <w:r w:rsidRPr="001258D9">
        <w:rPr>
          <w:rFonts w:cs="Arial"/>
        </w:rPr>
        <w:t>(Rohmer et al. 2006)</w:t>
      </w:r>
      <w:r w:rsidRPr="001258D9">
        <w:fldChar w:fldCharType="end"/>
      </w:r>
      <w:r w:rsidRPr="001258D9">
        <w:t>.</w:t>
      </w:r>
      <w:r w:rsidRPr="00671685">
        <w:t xml:space="preserve"> </w:t>
      </w:r>
      <w:r w:rsidR="000F2B9C">
        <w:t>One</w:t>
      </w:r>
      <w:r w:rsidR="00CC6CB9">
        <w:t xml:space="preserve"> gene in particular</w:t>
      </w:r>
      <w:r w:rsidR="000F2B9C">
        <w:t xml:space="preserve">, </w:t>
      </w:r>
      <w:r w:rsidR="00CC6CB9" w:rsidRPr="00CC6CB9">
        <w:rPr>
          <w:i/>
          <w:iCs/>
        </w:rPr>
        <w:t>pilA</w:t>
      </w:r>
      <w:r w:rsidR="00CC6CB9">
        <w:t xml:space="preserve">, a putative Type IV </w:t>
      </w:r>
      <w:r w:rsidR="00CC6CB9" w:rsidRPr="00CC6CB9">
        <w:t>pilin</w:t>
      </w:r>
      <w:r w:rsidR="00CC6CB9">
        <w:t xml:space="preserve">, </w:t>
      </w:r>
      <w:r w:rsidR="000F2B9C">
        <w:t>is mutated in LVS. Re-introduction of this functional gene</w:t>
      </w:r>
      <w:r w:rsidR="00CC6CB9" w:rsidRPr="00F02458">
        <w:t xml:space="preserve"> restored LVS virulence to levels comparable to</w:t>
      </w:r>
      <w:r w:rsidR="00CC6CB9">
        <w:t xml:space="preserve"> </w:t>
      </w:r>
      <w:r w:rsidR="007850D7">
        <w:t xml:space="preserve">non-attenuated </w:t>
      </w:r>
      <w:r w:rsidR="007850D7" w:rsidRPr="0091565C">
        <w:rPr>
          <w:i/>
          <w:iCs/>
        </w:rPr>
        <w:t>F. tularensis</w:t>
      </w:r>
      <w:r w:rsidR="007850D7">
        <w:t xml:space="preserve"> subsp. </w:t>
      </w:r>
      <w:r w:rsidR="007850D7" w:rsidRPr="0091565C">
        <w:rPr>
          <w:i/>
          <w:iCs/>
        </w:rPr>
        <w:t>holarctica</w:t>
      </w:r>
      <w:r w:rsidR="00CC6CB9">
        <w:t xml:space="preserve"> strains </w:t>
      </w:r>
      <w:r w:rsidR="00CC6CB9">
        <w:fldChar w:fldCharType="begin"/>
      </w:r>
      <w:r w:rsidR="00CC6CB9">
        <w:instrText xml:space="preserve"> ADDIN ZOTERO_ITEM CSL_CITATION {"citationID":"rb5pJWjz","properties":{"formattedCitation":"(Salomonsson et al. 2009)","plainCitation":"(Salomonsson et al. 2009)","noteIndex":0},"citationItems":[{"id":467,"uris":["http://zotero.org/users/10474456/items/W88BVDDG"],"itemData":{"id":467,"type":"article-journal","abstract":"A disadvantage of several old vaccines is that the genetic events resulting in the attenuation are often largely unknown and reversion to virulence cannot be excluded. In the 1950s, a live vaccine strain, LVS, was developed from a type B strain of Francisella tularensis, the causative agent of tularemia. LVS, which is highly attenuated for humans but still virulent for mice by some infection routes, has been extensively studied and found to protect staff from laboratory-acquired tularemia. The efforts to improve biopreparedness have identified a demand for a vaccine against tularemia. Recently the rapid progress in genomics of different Francisella strains has led to identification of several regions of differences (RDs). Two genes carried within RDs, pilA, encoding a putative type IV pilin, and FTT0918, encoding an outer membrane protein, have been linked to virulence. Interestingly, LVS has lost these two genes via direct repeat-mediated deletions. Here we show that reintroduction of the two deleted regions restores virulence of LVS in a mouse infection model to a level indistinguishable from that of virulent type B strains. The identification of the two attenuating deletion events could facilitate the licensing of LVS for use in humans.","container-title":"Infection and Immunity","DOI":"10.1128/IAI.00196-09","ISSN":"0019-9567","issue":"8","journalAbbreviation":"Infect Immun","note":"PMID: 19506014\nPMCID: PMC2715654","page":"3424-3431","source":"PubMed Central","title":"Reintroduction of Two Deleted Virulence Loci Restores Full Virulence to the Live Vaccine Strain of Francisella tularensis","volume":"77","author":[{"family":"Salomonsson","given":"Emelie"},{"family":"Kuoppa","given":"Kerstin"},{"family":"Forslund","given":"Anna-Lena"},{"family":"Zingmark","given":"Carl"},{"family":"Golovliov","given":"Igor"},{"family":"Sjöstedt","given":"Anders"},{"family":"Noppa","given":"Laila"},{"family":"Forsberg","given":"Åke"}],"issued":{"date-parts":[["2009",8]]}}}],"schema":"https://github.com/citation-style-language/schema/raw/master/csl-citation.json"} </w:instrText>
      </w:r>
      <w:r w:rsidR="00CC6CB9">
        <w:fldChar w:fldCharType="separate"/>
      </w:r>
      <w:r w:rsidR="00CC6CB9" w:rsidRPr="00CC6CB9">
        <w:rPr>
          <w:rFonts w:cs="Arial"/>
        </w:rPr>
        <w:t>(Salomonsson et al. 2009)</w:t>
      </w:r>
      <w:r w:rsidR="00CC6CB9">
        <w:fldChar w:fldCharType="end"/>
      </w:r>
      <w:r w:rsidR="00CC6CB9">
        <w:t>.</w:t>
      </w:r>
      <w:r w:rsidR="000F2B9C">
        <w:t xml:space="preserve"> </w:t>
      </w:r>
      <w:r w:rsidR="00915DFA">
        <w:t>Additionally, a gene important for iron uptake in pathogenic strains (</w:t>
      </w:r>
      <w:r w:rsidR="00915DFA" w:rsidRPr="00A1374A">
        <w:rPr>
          <w:i/>
          <w:iCs/>
        </w:rPr>
        <w:t>fupA</w:t>
      </w:r>
      <w:r w:rsidR="00915DFA">
        <w:t>)</w:t>
      </w:r>
      <w:r w:rsidR="00D26E9A">
        <w:t xml:space="preserve"> has recombined with a neighboring gene (</w:t>
      </w:r>
      <w:r w:rsidR="00D26E9A" w:rsidRPr="00A1374A">
        <w:rPr>
          <w:i/>
          <w:iCs/>
        </w:rPr>
        <w:t>fupB</w:t>
      </w:r>
      <w:r w:rsidR="00D26E9A">
        <w:t>) in LVS, resulting in less efficient ferric iron transport and reduced virulence</w:t>
      </w:r>
      <w:r w:rsidR="000F2B9C">
        <w:t xml:space="preserve"> </w:t>
      </w:r>
      <w:r w:rsidR="000F2B9C">
        <w:fldChar w:fldCharType="begin"/>
      </w:r>
      <w:r w:rsidR="000F2B9C">
        <w:instrText xml:space="preserve"> ADDIN ZOTERO_ITEM CSL_CITATION {"citationID":"ALJaAO40","properties":{"formattedCitation":"(Ramakrishnan, Sen, and Johnson 2012; Salomonsson et al. 2009)","plainCitation":"(Ramakrishnan, Sen, and Johnson 2012; Salomonsson et al. 2009)","noteIndex":0},"citationItems":[{"id":501,"uris":["http://zotero.org/users/10474456/items/TIDUJKPW"],"itemData":{"id":501,"type":"article-journal","abstract":"Background: FslE and FupA are Francisella-specific paralogous proteins involved in iron acquisition., Results:\nfslE mutation disrupts siderophore-mediated ferric iron uptake, fupA mutation impairs high affinity ferrous iron uptake, and both mutations impact virulence., Conclusion: Optimal iron acquisition and virulence require both paralogs., Significance: Iron acquisition mechanisms are potential targets for preventive or therapeutic intervention in F. tularensis infections., Francisella tularensis subsp. tularensis is a highly infectious bacterium causing acute disease in mammalian hosts. Mechanisms for the acquisition of iron within the iron-limiting host environment are likely to be critical for survival of this intracellular pathogen. FslE (FTT0025) and FupA (FTT0918) are paralogous proteins that are predicted to form β-barrels in the outer membrane of virulent strain Schu S4 and are unique to Francisella species. Previous studies have implicated both FupA, initially identified as a virulence factor and FslE, encoded by the siderophore biosynthetic operon, in iron acquisition. Using single and double mutants, we demonstrated that these paralogs function in concert to promote growth under iron limitation. We used a 55Fe transport assay to demonstrate that FslE is involved in siderophore-mediated ferric iron uptake, whereas FupA facilitates high affinity ferrous iron uptake. Optimal replication within J774A.1 macrophage-like cells required at least one of these uptake systems to be functional. In a mouse model of tularemia, the ΔfupA mutant was attenuated, but the ΔfslE ΔfupA mutant was significantly more attenuated, implying that the two systems of iron acquisition function synergistically to promote virulence. These studies highlight the importance of specific iron acquisition functions, particularly that of ferrous iron, for virulence of F. tularensis in the mammalian host.","container-title":"The Journal of Biological Chemistry","DOI":"10.1074/jbc.M112.371856","ISSN":"0021-9258","issue":"30","journalAbbreviation":"J Biol Chem","note":"PMID: 22661710\nPMCID: PMC3408188","page":"25191-25202","source":"PubMed Central","title":"Paralogous Outer Membrane Proteins Mediate Uptake of Different Forms of Iron and Synergistically Govern Virulence in Francisella tularensis tularensis","volume":"287","author":[{"family":"Ramakrishnan","given":"Girija"},{"family":"Sen","given":"Bhaswati"},{"family":"Johnson","given":"Richard"}],"issued":{"date-parts":[["2012",7,20]]}}},{"id":467,"uris":["http://zotero.org/users/10474456/items/W88BVDDG"],"itemData":{"id":467,"type":"article-journal","abstract":"A disadvantage of several old vaccines is that the genetic events resulting in the attenuation are often largely unknown and reversion to virulence cannot be excluded. In the 1950s, a live vaccine strain, LVS, was developed from a type B strain of Francisella tularensis, the causative agent of tularemia. LVS, which is highly attenuated for humans but still virulent for mice by some infection routes, has been extensively studied and found to protect staff from laboratory-acquired tularemia. The efforts to improve biopreparedness have identified a demand for a vaccine against tularemia. Recently the rapid progress in genomics of different Francisella strains has led to identification of several regions of differences (RDs). Two genes carried within RDs, pilA, encoding a putative type IV pilin, and FTT0918, encoding an outer membrane protein, have been linked to virulence. Interestingly, LVS has lost these two genes via direct repeat-mediated deletions. Here we show that reintroduction of the two deleted regions restores virulence of LVS in a mouse infection model to a level indistinguishable from that of virulent type B strains. The identification of the two attenuating deletion events could facilitate the licensing of LVS for use in humans.","container-title":"Infection and Immunity","DOI":"10.1128/IAI.00196-09","ISSN":"0019-9567","issue":"8","journalAbbreviation":"Infect Immun","note":"PMID: 19506014\nPMCID: PMC2715654","page":"3424-3431","source":"PubMed Central","title":"Reintroduction of Two Deleted Virulence Loci Restores Full Virulence to the Live Vaccine Strain of Francisella tularensis","volume":"77","author":[{"family":"Salomonsson","given":"Emelie"},{"family":"Kuoppa","given":"Kerstin"},{"family":"Forslund","given":"Anna-Lena"},{"family":"Zingmark","given":"Carl"},{"family":"Golovliov","given":"Igor"},{"family":"Sjöstedt","given":"Anders"},{"family":"Noppa","given":"Laila"},{"family":"Forsberg","given":"Åke"}],"issued":{"date-parts":[["2009",8]]}}}],"schema":"https://github.com/citation-style-language/schema/raw/master/csl-citation.json"} </w:instrText>
      </w:r>
      <w:r w:rsidR="000F2B9C">
        <w:fldChar w:fldCharType="separate"/>
      </w:r>
      <w:r w:rsidR="000F2B9C" w:rsidRPr="000F2B9C">
        <w:rPr>
          <w:rFonts w:cs="Arial"/>
        </w:rPr>
        <w:t>(Ramakrishnan, Sen, and Johnson 2012; Salomonsson et al. 2009)</w:t>
      </w:r>
      <w:r w:rsidR="000F2B9C">
        <w:fldChar w:fldCharType="end"/>
      </w:r>
      <w:r w:rsidR="000F2B9C">
        <w:t>.</w:t>
      </w:r>
      <w:r w:rsidR="00CC6CB9">
        <w:t xml:space="preserve"> </w:t>
      </w:r>
      <w:r w:rsidRPr="00671685">
        <w:t>T</w:t>
      </w:r>
      <w:r w:rsidR="00A37246">
        <w:t>ogether, t</w:t>
      </w:r>
      <w:r w:rsidRPr="00671685">
        <w:t xml:space="preserve">he reduced biosafety level needs and the </w:t>
      </w:r>
      <w:r w:rsidR="00A37246">
        <w:t xml:space="preserve">ability of LVS to infect animal models make the LVS strain </w:t>
      </w:r>
      <w:r w:rsidRPr="00671685">
        <w:t xml:space="preserve">an ideal candidate </w:t>
      </w:r>
      <w:r w:rsidR="00A37246">
        <w:t>to</w:t>
      </w:r>
      <w:r w:rsidR="00A37246" w:rsidRPr="00671685">
        <w:t xml:space="preserve"> </w:t>
      </w:r>
      <w:r w:rsidRPr="00671685">
        <w:t xml:space="preserve">study mechanisms </w:t>
      </w:r>
      <w:r w:rsidR="0091565C">
        <w:t xml:space="preserve">of pathogenicity </w:t>
      </w:r>
      <w:r w:rsidRPr="00671685">
        <w:t>in a biologically relevant manner.</w:t>
      </w:r>
    </w:p>
    <w:p w14:paraId="04CD8542" w14:textId="0D71786A" w:rsidR="00DB245E" w:rsidRPr="000F369F" w:rsidRDefault="00E275AC" w:rsidP="005C77D7">
      <w:pPr>
        <w:spacing w:line="480" w:lineRule="auto"/>
        <w:ind w:firstLine="450"/>
        <w:jc w:val="both"/>
      </w:pPr>
      <w:r w:rsidRPr="00671685">
        <w:t xml:space="preserve">There are a number of </w:t>
      </w:r>
      <w:r w:rsidR="002955DF">
        <w:t xml:space="preserve">genes important for </w:t>
      </w:r>
      <w:r w:rsidRPr="00671685">
        <w:t xml:space="preserve">virulence </w:t>
      </w:r>
      <w:r w:rsidR="005D423C" w:rsidRPr="00671685">
        <w:t xml:space="preserve">in </w:t>
      </w:r>
      <w:r w:rsidRPr="00671685">
        <w:rPr>
          <w:i/>
          <w:iCs/>
        </w:rPr>
        <w:t>F. tularensis</w:t>
      </w:r>
      <w:r w:rsidR="00BB4345" w:rsidRPr="00671685">
        <w:rPr>
          <w:i/>
          <w:iCs/>
        </w:rPr>
        <w:t xml:space="preserve"> </w:t>
      </w:r>
      <w:r w:rsidR="00BB4345" w:rsidRPr="00671685">
        <w:rPr>
          <w:i/>
          <w:iCs/>
        </w:rPr>
        <w:fldChar w:fldCharType="begin"/>
      </w:r>
      <w:r w:rsidR="00CC6CB9">
        <w:rPr>
          <w:i/>
          <w:iCs/>
        </w:rPr>
        <w:instrText xml:space="preserve"> ADDIN ZOTERO_ITEM CSL_CITATION {"citationID":"MCKzKq2J","properties":{"formattedCitation":"(Jones et al. 2014; Rowe and Huntley 2015)","plainCitation":"(Jones et al. 2014; Rowe and Huntley 2015)","noteIndex":0},"citationItems":[{"id":463,"uris":["http://zotero.org/users/10474456/items/SXM57NYL"],"itemData":{"id":463,"type":"article-journal","abstract":"Over the last decade, studies on the virulence of the highly pathogenic intracellular bacterial pathogen Francisella tularensis have increased dramatically. The organism produces an inert LPS, a capsule, escapes the phagosome to grow in the cytosol (FPI genes mediate phagosomal escape) of a variety of host cell types that include epithelial, endothelial, dendritic, macrophage, and neutrophil. This review focuses on the work that has identified and characterized individual virulence factors of this organism and we hope to highlight how these factors collectively function to produce the pathogenic strategy of this pathogen. In addition, several recent studies have been published characterizing F. tularensis mutants that induce host immune responses not observed in wild type F. tularensis strains that can induce protection against challenge with virulent F. tularensis. As more detailed studies with attenuated strains are performed, it will be possible to see how host models develop acquired immunity to Francisella. Collectively, detailed insights into the mechanisms of virulence of this pathogen are emerging that will allow the design of anti-infective strategies.","container-title":"Frontiers in Cellular and Infection Microbiology","ISSN":"2235-2988","source":"Frontiers","title":"Uncovering the components of the Francisella tularensis virulence stealth strategy","URL":"https://www.frontiersin.org/articles/10.3389/fcimb.2014.00032","volume":"4","author":[{"family":"Jones","given":"Bradley"},{"family":"Faron","given":"Matt"},{"family":"Rasmussen","given":"Jed"},{"family":"Fletcher","given":"Josh"}],"accessed":{"date-parts":[["2023",9,3]]},"issued":{"date-parts":[["2014"]]}}},{"id":465,"uris":["http://zotero.org/users/10474456/items/R3KCTIHQ"],"itemData":{"id":465,"type":"article-journal","abstract":"Francisella tularensis is a highly-infectious bacterium that causes the rapid, and often lethal disease, tularemia. Many studies have been performed to identify and characterize the virulence factors that F. tularensis uses to infect a wide variety of hosts and host cell types, evade immune defenses, and induce severe disease and death. This review focuses on the virulence factors that are present in the F. tularensis envelope, including capsule, LPS, outer membrane, periplasm, inner membrane, secretion systems, and various molecules in each of aforementioned sub-compartments. Whereas, no single bacterial molecule or molecular complex single-handedly controls F. tularensis virulence, we review here how diverse bacterial systems work in conjunction to subvert the immune system, attach to and invade host cells, alter phagosome/lysosome maturation pathways, replicate in host cells without being detected, inhibit apoptosis, and induce host cell death for bacterial release and infection of adjacent cells. Given that the F. tularensis envelope is the outermost layer of the bacterium, we highlight herein how many of these molecules directly interact with the host to promote infection and disease. These and future envelope studies are important to advance our collective understanding of F. tularensis virulence mechanisms and offer targets for future vaccine development efforts.","container-title":"Frontiers in Cellular and Infection Microbiology","ISSN":"2235-2988","source":"Frontiers","title":"From the Outside-In: The Francisella tularensis Envelope and Virulence","title-short":"From the Outside-In","URL":"https://www.frontiersin.org/articles/10.3389/fcimb.2015.00094","volume":"5","author":[{"family":"Rowe","given":"Hannah M."},{"family":"Huntley","given":"Jason F."}],"accessed":{"date-parts":[["2023",9,3]]},"issued":{"date-parts":[["2015"]]}}}],"schema":"https://github.com/citation-style-language/schema/raw/master/csl-citation.json"} </w:instrText>
      </w:r>
      <w:r w:rsidR="00BB4345" w:rsidRPr="00671685">
        <w:rPr>
          <w:i/>
          <w:iCs/>
        </w:rPr>
        <w:fldChar w:fldCharType="separate"/>
      </w:r>
      <w:r w:rsidR="00CC6CB9" w:rsidRPr="00CC6CB9">
        <w:rPr>
          <w:rFonts w:cs="Arial"/>
        </w:rPr>
        <w:t>(Jones et al. 2014; Rowe and Huntley 2015)</w:t>
      </w:r>
      <w:r w:rsidR="00BB4345" w:rsidRPr="00671685">
        <w:rPr>
          <w:i/>
          <w:iCs/>
        </w:rPr>
        <w:fldChar w:fldCharType="end"/>
      </w:r>
      <w:r w:rsidRPr="00671685">
        <w:t xml:space="preserve">. </w:t>
      </w:r>
      <w:r w:rsidR="00CC2B64">
        <w:t>Many</w:t>
      </w:r>
      <w:r w:rsidR="00BB4345" w:rsidRPr="00671685">
        <w:t xml:space="preserve"> factors have been linked to regulation</w:t>
      </w:r>
      <w:r w:rsidR="005D423C" w:rsidRPr="00671685">
        <w:t xml:space="preserve"> </w:t>
      </w:r>
      <w:r w:rsidR="00836E76">
        <w:t>of virulence</w:t>
      </w:r>
      <w:r w:rsidR="002955DF">
        <w:t xml:space="preserve"> genes</w:t>
      </w:r>
      <w:r w:rsidR="00836E76">
        <w:t xml:space="preserve"> </w:t>
      </w:r>
      <w:r w:rsidR="005D423C" w:rsidRPr="00671685">
        <w:t xml:space="preserve">in </w:t>
      </w:r>
      <w:r w:rsidR="005D423C" w:rsidRPr="00671685">
        <w:rPr>
          <w:i/>
          <w:iCs/>
        </w:rPr>
        <w:t>F. tularensis</w:t>
      </w:r>
      <w:r w:rsidR="00BB4345" w:rsidRPr="00671685">
        <w:t xml:space="preserve">, including temperature, iron availability, </w:t>
      </w:r>
      <w:r w:rsidR="008A5C85" w:rsidRPr="00671685">
        <w:t>oxidative stress, host-cell</w:t>
      </w:r>
      <w:r w:rsidR="00CC2B64">
        <w:t>-specific</w:t>
      </w:r>
      <w:r w:rsidR="008A5C85" w:rsidRPr="00671685">
        <w:t xml:space="preserve"> components, transcriptional regulators, and translational regulators </w:t>
      </w:r>
      <w:r w:rsidR="008A5C85" w:rsidRPr="00671685">
        <w:fldChar w:fldCharType="begin"/>
      </w:r>
      <w:r w:rsidR="008A5C85" w:rsidRPr="00671685">
        <w:instrText xml:space="preserve"> ADDIN ZOTERO_ITEM CSL_CITATION {"citationID":"SD3zkRc5","properties":{"formattedCitation":"(Dai et al. 2011; Trautmann and Ramsey 2022)","plainCitation":"(Dai et al. 2011; Trautmann and Ramsey 2022)","noteIndex":0},"citationItems":[{"id":298,"uris":["http://zotero.org/users/10474456/items/QM7X2CZE"],"itemData":{"id":298,"type":"article-journal","abstract":"Francisella tularensis is one of the most virulent bacteria known and a Centers for Disease Control and Prevention Category A select agent. It is able to infect a variety of animals and insects and can persist in the environment, thus Francisella spp. must be able to survive in diverse environmental niches. However, F. tularensis has a surprising dearth of sensory and regulatory factors. Recent advancements in the field have identified new functions of encoded transcription factors and greatly expanded our understanding of virulence gene regulation. Here we review the current knowledge of environmental adaptation by F. tularensis, its transcriptional regulators and their relationship to animal virulence.","container-title":"Frontiers in Microbiology","ISSN":"1664-302X","source":"Frontiers","title":"Regulation of Francisella Tularensis Virulence","URL":"https://www.frontiersin.org/articles/10.3389/fmicb.2010.00144","volume":"1","author":[{"family":"Dai","given":"Shipan"},{"family":"Mohapatra","given":"Nrusingh"},{"family":"Schlesinger","given":"Larry"},{"family":"Gunn","given":"John"}],"accessed":{"date-parts":[["2023",6,28]]},"issued":{"date-parts":[["2011"]]}}},{"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8A5C85" w:rsidRPr="00671685">
        <w:fldChar w:fldCharType="separate"/>
      </w:r>
      <w:r w:rsidR="008A5C85" w:rsidRPr="00671685">
        <w:rPr>
          <w:rFonts w:cs="Arial"/>
        </w:rPr>
        <w:t xml:space="preserve">(Dai et al. 2011; Trautmann and Ramsey </w:t>
      </w:r>
      <w:r w:rsidR="008A5C85" w:rsidRPr="00671685">
        <w:rPr>
          <w:rFonts w:cs="Arial"/>
        </w:rPr>
        <w:lastRenderedPageBreak/>
        <w:t>2022)</w:t>
      </w:r>
      <w:r w:rsidR="008A5C85" w:rsidRPr="00671685">
        <w:fldChar w:fldCharType="end"/>
      </w:r>
      <w:r w:rsidR="008A5C85" w:rsidRPr="00671685">
        <w:t xml:space="preserve">. </w:t>
      </w:r>
      <w:r w:rsidR="000F369F">
        <w:t>A</w:t>
      </w:r>
      <w:r w:rsidR="00CC2B64">
        <w:t>rguably</w:t>
      </w:r>
      <w:r w:rsidR="00622D83">
        <w:t>,</w:t>
      </w:r>
      <w:r w:rsidR="00CC2B64">
        <w:t xml:space="preserve"> the virulence factor with the most well-understood regulation in </w:t>
      </w:r>
      <w:r w:rsidR="00CC2B64" w:rsidRPr="0091565C">
        <w:rPr>
          <w:i/>
          <w:iCs/>
        </w:rPr>
        <w:t>F. tularensis</w:t>
      </w:r>
      <w:r w:rsidR="00CC2B64">
        <w:t xml:space="preserve"> is </w:t>
      </w:r>
      <w:r w:rsidR="008A5C85" w:rsidRPr="00671685">
        <w:t>the</w:t>
      </w:r>
      <w:r w:rsidR="00B71B68" w:rsidRPr="00671685">
        <w:t xml:space="preserve"> </w:t>
      </w:r>
      <w:r w:rsidR="00B71B68" w:rsidRPr="001258D9">
        <w:t>F</w:t>
      </w:r>
      <w:r w:rsidR="000F369F" w:rsidRPr="001258D9">
        <w:t>rancisella</w:t>
      </w:r>
      <w:r w:rsidR="000F369F">
        <w:rPr>
          <w:i/>
          <w:iCs/>
        </w:rPr>
        <w:t xml:space="preserve"> </w:t>
      </w:r>
      <w:r w:rsidR="000F369F">
        <w:t>Pathogenicity Island (FPI)</w:t>
      </w:r>
      <w:r w:rsidR="00CC2B64">
        <w:t>, so</w:t>
      </w:r>
      <w:r w:rsidR="00622D83">
        <w:t xml:space="preserve"> in the following section</w:t>
      </w:r>
      <w:r w:rsidR="00CC2B64">
        <w:t xml:space="preserve"> </w:t>
      </w:r>
      <w:r w:rsidR="00622D83">
        <w:t xml:space="preserve">it </w:t>
      </w:r>
      <w:r w:rsidR="00CC2B64">
        <w:t>will provide an example of how virulence genes are controlled in this pathogen</w:t>
      </w:r>
      <w:r w:rsidR="000F369F">
        <w:t xml:space="preserve">. </w:t>
      </w:r>
    </w:p>
    <w:p w14:paraId="43391C4F" w14:textId="18E9B2DC" w:rsidR="005D423C" w:rsidRPr="00671685" w:rsidRDefault="00205F17" w:rsidP="005D423C">
      <w:pPr>
        <w:spacing w:line="480" w:lineRule="auto"/>
        <w:jc w:val="both"/>
        <w:rPr>
          <w:i/>
          <w:iCs/>
        </w:rPr>
      </w:pPr>
      <w:r>
        <w:rPr>
          <w:i/>
          <w:iCs/>
        </w:rPr>
        <w:t xml:space="preserve">Francisella Pathogenicity Island </w:t>
      </w:r>
      <w:r w:rsidR="000B4FE4" w:rsidRPr="001258D9">
        <w:t>(FPI)</w:t>
      </w:r>
    </w:p>
    <w:p w14:paraId="70132A74" w14:textId="145DFF5E" w:rsidR="005D423C" w:rsidRDefault="00DE31C7" w:rsidP="005C77D7">
      <w:pPr>
        <w:spacing w:line="480" w:lineRule="auto"/>
        <w:ind w:firstLine="450"/>
        <w:jc w:val="both"/>
      </w:pPr>
      <w:r>
        <w:t xml:space="preserve">The </w:t>
      </w:r>
      <w:r w:rsidRPr="001258D9">
        <w:t>F</w:t>
      </w:r>
      <w:r w:rsidR="000B4FE4">
        <w:t>PI</w:t>
      </w:r>
      <w:r>
        <w:t xml:space="preserve"> is a cluster of 16 conserved genes with three variable genes encoded by</w:t>
      </w:r>
      <w:r w:rsidR="00622D83">
        <w:t xml:space="preserve"> the</w:t>
      </w:r>
      <w:r>
        <w:t xml:space="preserve"> </w:t>
      </w:r>
      <w:r>
        <w:rPr>
          <w:i/>
          <w:iCs/>
        </w:rPr>
        <w:t xml:space="preserve">Francisella </w:t>
      </w:r>
      <w:r>
        <w:t xml:space="preserve">genomes </w:t>
      </w:r>
      <w:r>
        <w:fldChar w:fldCharType="begin"/>
      </w:r>
      <w:r>
        <w:instrText xml:space="preserve"> ADDIN ZOTERO_ITEM CSL_CITATION {"citationID":"WQ0ZxWVP","properties":{"formattedCitation":"(de Bruin et al. 2011; Nano et al. 2004; Nano and Schmerk 2007)","plainCitation":"(de Bruin et al. 2011; Nano et al. 2004; Nano and Schmerk 2007)","noteIndex":0},"citationItems":[{"id":386,"uris":["http://zotero.org/users/10474456/items/DNKT6WYC"],"itemData":{"id":386,"type":"article-journal","abstract":"The Francisella pathogenicity island (FPI) encodes proteins thought to compose a type VI secretion system (T6SS) that is required for the intracellular growth of Francisella novicida. In this work we used deletion mutagenesis and genetic complementation to determine that the intracellular growth of F. novicida was dependent on 14 of the 18 genes in the FPI. The products of the iglABCD operon were localized by the biochemical fractionation of F. novicida, and Francisella tularensis LVS. Sucrose gradient separation of water-insoluble material showed that the FPI-encoded proteins IglA, IglB and IglC were found in multiple fractions, especially in a fraction that did not correspond to a known membrane fraction. We interpreted these data to suggest that IglA, IglB and IglC are part of a macromolecular structure. Analysis of published structural data suggested that IglC is an analogue of Hcp, which is thought to form long nano-tubes. Thus the fractionation properties of IglA, IglB and IglC are consistent with the current model of the T6SS apparatus, which supposes that IglA and IglB homologues form an outer tube structure that surrounds an inner tube composed of Hcp (IglC) subunits. Fractionation of F. novicida expressing FLAG-tagged DotU (IcmH homologue) and PdpB (IcmF homologue) showed that these proteins localize to the inner membrane. Deletion of dotU led to the cleavage of PdpB, suggesting an interaction of these two proteins that is consistent with results obtained with other T6SSs. Our results may provide a mechanistic basis for many of the studies that have examined the virulence properties of Francisella mutants in FPI genes, namely that the observed phenotypes of the mutants are the result of the disruption of the FPI-encoded T6SS structure.","container-title":"Microbiology","DOI":"10.1099/mic.0.052308-0","ISSN":"1350-0872","issue":"Pt 12","journalAbbreviation":"Microbiology (Reading)","note":"PMID: 21980115\nPMCID: PMC3352279","page":"3483-3491","source":"PubMed Central","title":"The biochemical properties of the Francisella pathogenicity island (FPI)-encoded proteins IglA, IglB, IglC, PdpB and DotU suggest roles in type VI secretion","volume":"157","author":[{"family":"Bruin","given":"Olle M.","non-dropping-particle":"de"},{"family":"Duplantis","given":"Barry N."},{"family":"Ludu","given":"Jagjit S."},{"family":"Hare","given":"Rebekah F."},{"family":"Nix","given":"Eli B."},{"family":"Schmerk","given":"Crystal L."},{"family":"Robb","given":"Craig S."},{"family":"Boraston","given":"Alisdair B."},{"family":"Hueffer","given":"Karsten"},{"family":"Nano","given":"Francis E."}],"issued":{"date-parts":[["2011",12]]}}},{"id":117,"uris":["http://zotero.org/users/10474456/items/X3SR8BSM"],"itemData":{"id":117,"type":"article-journal","abstract":"Francisella tularensis is a gram-negative, facultative intracellular pathogen that causes the highly infectious zoonotic disease tularemia. We have discovered a ca. 30-kb pathogenicity island of F. tularensis (FPI) that includes four large open reading frames (ORFs) of 2.5 to 3.9 kb and 13 ORFs of 1.5 kb or smaller. Previously, two small genes located near the center of the FPI were shown to be needed for intramacrophage growth. In this work we show that two of the large ORFs, located toward the ends of the FPI, are needed for virulence. Although most genes in the FPI encode proteins with amino acid sequences that are highly conserved between high- and low-virulence strains, one of the FPI genes is present in highly virulent type A F. tularensis, absent in moderately virulent type B F. tularensis, and altered in F. tularensis subsp. novicida, which is highly virulent for mice but avirulent for humans. The G+C content of a 17.7-kb stretch of the FPI is 26.6%, which is 6.6% below the average G+C content of the F. tularensis genome. This extremely low G+C content suggests that the DNA was imported from a microbe with a very low G+C-containing chromosome.","container-title":"Journal of Bacteriology","DOI":"10.1128/JB.186.19.6430-6436.2004","issue":"19","note":"publisher: American Society for Microbiology","page":"6430-6436","source":"journals.asm.org (Atypon)","title":"A Francisella tularensis Pathogenicity Island Required for Intramacrophage Growth","volume":"186","author":[{"family":"Nano","given":"Francis E."},{"family":"Zhang","given":"Na"},{"family":"Cowley","given":"Siobhán C."},{"family":"Klose","given":"Karl E."},{"family":"Cheung","given":"Karen K. M."},{"family":"Roberts","given":"Michael J."},{"family":"Ludu","given":"Jagjit S."},{"family":"Letendre","given":"Gregg W."},{"family":"Meierovics","given":"Anda I."},{"family":"Stephens","given":"Gwen"},{"family":"Elkins","given":"Karen L."}],"issued":{"date-parts":[["2004",10]]}}},{"id":384,"uris":["http://zotero.org/users/10474456/items/CGXXUD3Y"],"itemData":{"id":384,"type":"article-journal","abstract":"Abstract: The Francisella pathogenicity island (FPI) is a cluster of 16–19 genes, which is found duplicated in most of the Francisella genomes that have been sequenced. Although 16 FPI genes are highly conserved there are 2–3 putative genes that are absent or interrupted by stop codons in some strains. Francisella strains with experimentally induced mutations in FPI genes are highly attenuated in virulence and show defects in intramacrophage growth. There is experimental evidence indicating that the regulation of most FPI genes is affected by the presence of the virulence regulator MglA and by the concentration of iron in the growth medium. Although studies of mRNA expression show that essentially all FPI genes are transcribed, only a handful of FPI-encoded proteins have been detected by biochemical methods. The cumulative biochemical and genetic data to date have not yet been able to ascribe a biochemical function to any of the FPI-encoded proteins. However, bioinformatics analysis suggests that some of the FPI-encoded proteins are part of a type VI secretion system.","container-title":"Annals of the New York Academy of Sciences","DOI":"10.1196/annals.1409.000","ISSN":"1749-6632","issue":"1","language":"en","note":"_eprint: https://onlinelibrary.wiley.com/doi/pdf/10.1196/annals.1409.000","page":"122-137","source":"Wiley Online Library","title":"The Francisella Pathogenicity Island","volume":"1105","author":[{"family":"Nano","given":"Francis E."},{"family":"Schmerk","given":"Crystal"}],"issued":{"date-parts":[["2007"]]}}}],"schema":"https://github.com/citation-style-language/schema/raw/master/csl-citation.json"} </w:instrText>
      </w:r>
      <w:r>
        <w:fldChar w:fldCharType="separate"/>
      </w:r>
      <w:r w:rsidRPr="00DE31C7">
        <w:rPr>
          <w:rFonts w:cs="Arial"/>
        </w:rPr>
        <w:t>(de Bruin et al. 2011; Nano et al. 2004; Nano and Schmerk 2007)</w:t>
      </w:r>
      <w:r>
        <w:fldChar w:fldCharType="end"/>
      </w:r>
      <w:r>
        <w:t xml:space="preserve">. The FPI </w:t>
      </w:r>
      <w:r w:rsidR="000B4FE4">
        <w:t xml:space="preserve">contains </w:t>
      </w:r>
      <w:r w:rsidR="00622D83">
        <w:t xml:space="preserve">the </w:t>
      </w:r>
      <w:r>
        <w:t xml:space="preserve">genes encoding </w:t>
      </w:r>
      <w:r w:rsidR="00622D83">
        <w:t xml:space="preserve"> </w:t>
      </w:r>
      <w:r>
        <w:t>T6SS proteins</w:t>
      </w:r>
      <w:r w:rsidR="006F0227">
        <w:t xml:space="preserve">. </w:t>
      </w:r>
      <w:r w:rsidR="00D64B99">
        <w:t xml:space="preserve">These </w:t>
      </w:r>
      <w:r>
        <w:t xml:space="preserve">genes </w:t>
      </w:r>
      <w:r w:rsidR="00D64B99">
        <w:t>include structural components of the</w:t>
      </w:r>
      <w:r w:rsidR="000C347F">
        <w:t xml:space="preserve"> T6SS</w:t>
      </w:r>
      <w:r w:rsidR="00D64B99">
        <w:t xml:space="preserve"> and putative effectors</w:t>
      </w:r>
      <w:r w:rsidR="000C347F">
        <w:t xml:space="preserve"> </w:t>
      </w:r>
      <w:r w:rsidR="000C347F">
        <w:fldChar w:fldCharType="begin"/>
      </w:r>
      <w:r w:rsidR="00F13EEC">
        <w:instrText xml:space="preserve"> ADDIN ZOTERO_ITEM CSL_CITATION {"citationID":"dgUZpDRT","properties":{"formattedCitation":"(Brodmann et al. 2017; Clemens, Lee, and Horwitz 2018; Eshraghi et al. 2016; Lai, Golovliov, and Sj\\uc0\\u246{}stedt 2004)","plainCitation":"(Brodmann et al. 2017; Clemens, Lee, and Horwitz 2018; Eshraghi et al. 2016; Lai, Golovliov, and Sjöstedt 2004)","noteIndex":0},"citationItems":[{"id":283,"uris":["http://zotero.org/users/10474456/items/VMP3EJBF"],"itemData":{"id":283,"type":"article-journal","abstract":"Francisella tularensis is an intracellular pathogen that causes the fatal zoonotic disease tularaemia. Critical for its pathogenesis is the ability of the phagocytosed bacteria to escape into the cell cytosol. For this, the bacteria use a non-canonical type VI secretion system (T6SS) encoded on the Francisella pathogenicity island (FPI). Here we show that in F. novicida T6SS assembly initiates at the bacterial poles both in vitro and within infected macrophages. T6SS dynamics and function depends on the general purpose ClpB unfoldase, which specifically colocalizes with contracted sheaths and is required for their disassembly. T6SS assembly depends on iglF, iglG, iglI and iglJ, whereas pdpC, pdpD, pdpE and anmK are dispensable. Importantly, strains lacking pdpC and pdpD are unable to escape from phagosome, activate AIM2 inflammasome or cause disease in mice. This suggests that PdpC and PdpD are T6SS effectors involved in phagosome rupture.","container-title":"Nature Communications","DOI":"10.1038/ncomms15853","ISSN":"2041-1723","issue":"1","journalAbbreviation":"Nat Commun","language":"en","license":"2017 The Author(s)","note":"number: 1\npublisher: Nature Publishing Group","page":"15853","source":"www.nature.com","title":"Francisella requires dynamic type VI secretion system and ClpB to deliver effectors for phagosomal escape","volume":"8","author":[{"family":"Brodmann","given":"Maj"},{"family":"Dreier","given":"Roland F."},{"family":"Broz","given":"Petr"},{"family":"Basler","given":"Marek"}],"issued":{"date-parts":[["2017",6,16]]}}},{"id":249,"uris":["http://zotero.org/users/10474456/items/5MZTIWS4"],"itemData":{"id":249,"type":"article-journal","abstract":"Francisella tularensisis subsp. tularensis is an intracellular bacterial pathogen and the causative agent of the life-threatening zoonotic disease tularemia. The Francisella Pathogenicity Island encodes a large secretion apparatus, known as a Type VI Secretion System (T6SS), which is essential for Francisella to escape from its phagosome and multiply within host macrophages and to cause disease in animals. The T6SS, found in one-quarter of Gram-negative bacteria including many highly pathogenic ones, is a recently discovered secretion system that is not yet fully understood. Nevertheless, there have been remarkable advances in our understanding of the structure, composition, and function of T6SSs of several bacteria in the past few years. The system operates like an inside-out headless contractile phage that is anchored to the bacterial membrane via a baseplate and membrane complex. The system injects effector molecules across the inner and outer bacterial membrane and into host prokaryotic or eukaryotic targets to kill, intoxicate, or in the case of Francisella, hijack the target cell. Recent advances include an atomic model of the contractile sheath, insights into the mechanics of sheath contraction, the composition of the baseplate and membrane complex, the process of assembly of the apparatus, and identification of numerous effector molecules and activities. While Francisella T6SS appears to be an outlier among T6SSs, with limited or no sequence homology with other systems, its structure and organization are strikingly similar to other systems. Nevertheless, we have only scratched the surface in uncovering the mysteries of the Francisella T6SS, and there are numerous questions that remain to be answered.","container-title":"Frontiers in Cellular and Infection Microbiology","ISSN":"2235-2988","source":"Frontiers","title":"The Francisella Type VI Secretion System","URL":"https://www.frontiersin.org/articles/10.3389/fcimb.2018.00121","volume":"8","author":[{"family":"Clemens","given":"Daniel L."},{"family":"Lee","given":"Bai-Yu"},{"family":"Horwitz","given":"Marcus A."}],"accessed":{"date-parts":[["2023",6,16]]},"issued":{"date-parts":[["2018"]]}}},{"id":454,"uris":["http://zotero.org/users/10474456/items/2D5V4R72"],"itemData":{"id":454,"type":"article-journal","abstract":"The intracellular bacterial pathogen Francisella tularensis causes tularemia, a zoonosis that can be fatal. The type VI secretion system (T6SS) encoded by the Francisella pathogenicity island (FPI) is critical for the virulence of this organism. Existing studies suggest that the complete repertoire of T6SS effectors delivered to host cells is encoded by the FPI. Using a proteome-wide approach, we discovered that the FPI-encoded T6SS exports at least three effectors encoded outside of the island. These proteins share features with virulence determinants of other pathogens, and we provide evidence that they can contribute to intramacrophage growth. The remaining proteins that we identified are encoded within the FPI. Two of these FPI-encoded proteins constitute effectors, whereas the others form a unique complex required for core function of the T6SS apparatus. The discovery of secreted effectors mediating interactions between Francisella and its host significantly advances our understanding of the pathogenesis of this organism.","container-title":"Cell Host &amp; Microbe","DOI":"10.1016/j.chom.2016.10.008","ISSN":"1934-6069","issue":"5","journalAbbreviation":"Cell Host Microbe","language":"eng","note":"PMID: 27832588\nPMCID: PMC5384264","page":"573-583","source":"PubMed","title":"Secreted Effectors Encoded within and outside of the Francisella Pathogenicity Island Promote Intramacrophage Growth","volume":"20","author":[{"family":"Eshraghi","given":"Aria"},{"family":"Kim","given":"Jungyun"},{"family":"Walls","given":"Alexandra C."},{"family":"Ledvina","given":"Hannah E."},{"family":"Miller","given":"Cheryl N."},{"family":"Ramsey","given":"Kathryn M."},{"family":"Whitney","given":"John C."},{"family":"Radey","given":"Matthew C."},{"family":"Peterson","given":"S. Brook"},{"family":"Ruhland","given":"Brittany R."},{"family":"Tran","given":"Bao Q."},{"family":"Goo","given":"Young Ah"},{"family":"Goodlett","given":"David R."},{"family":"Dove","given":"Simon L."},{"family":"Celli","given":"Jean"},{"family":"Veesler","given":"David"},{"family":"Mougous","given":"Joseph D."}],"issued":{"date-parts":[["2016",11,9]]}}},{"id":263,"uris":["http://zotero.org/users/10474456/items/RXII2UEA"],"itemData":{"id":263,"type":"article-journal","abstract":"Francisella tularensis is a facultative intracellular bacterium capable of inducing apoptosis in murine macrophages. In a previous study, an iglC null mutant of F. tularensis live vaccine strain LVS was generated by allelic replacement and in the current study this iglC mutant was successfully complemented in trans. We characterized the capacity of this iglC mutant and the complemented strain to induce macrophage apoptosis. The iglC mutant did not induce apoptosis in the infected cells. In contrast, the complemented iglC strain was able to multiply in the murine macrophage-like cell line J774A.1 and induced apoptosis similar to that of the wild-type strain. It is the first successful example of complementation in trans of a F. tularensis mutant strain and more importantly this work provides direct evidence that the intracellular growth ability is essential for F. tularensis to induce macrophage apoptosis.","container-title":"Microbial Pathogenesis","DOI":"10.1016/j.micpath.2004.07.002","ISSN":"0882-4010","issue":"5","journalAbbreviation":"Microb Pathog","language":"eng","note":"PMID: 15519043","page":"225-230","source":"PubMed","title":"Expression of IglC is necessary for intracellular growth and induction of apoptosis in murine macrophages by Francisella tularensis","volume":"37","author":[{"family":"Lai","given":"Xin-He"},{"family":"Golovliov","given":"Igor"},{"family":"Sjöstedt","given":"Anders"}],"issued":{"date-parts":[["2004",11]]}}}],"schema":"https://github.com/citation-style-language/schema/raw/master/csl-citation.json"} </w:instrText>
      </w:r>
      <w:r w:rsidR="000C347F">
        <w:fldChar w:fldCharType="separate"/>
      </w:r>
      <w:r w:rsidR="00F13EEC" w:rsidRPr="00F13EEC">
        <w:rPr>
          <w:rFonts w:cs="Arial"/>
          <w:szCs w:val="24"/>
        </w:rPr>
        <w:t>(Brodmann et al. 2017; Clemens, Lee, and Horwitz 2018; Eshraghi et al. 2016; Lai, Golovliov, and Sjöstedt 2004)</w:t>
      </w:r>
      <w:r w:rsidR="000C347F">
        <w:fldChar w:fldCharType="end"/>
      </w:r>
      <w:r w:rsidR="000C347F">
        <w:t xml:space="preserve"> (Figure 1). </w:t>
      </w:r>
      <w:r w:rsidR="00604DDA">
        <w:t xml:space="preserve">The </w:t>
      </w:r>
      <w:r>
        <w:t>T6SS is</w:t>
      </w:r>
      <w:r w:rsidR="00604DDA">
        <w:t xml:space="preserve"> </w:t>
      </w:r>
      <w:r w:rsidR="00A933D4">
        <w:t>essential for</w:t>
      </w:r>
      <w:r w:rsidR="00CC2B64">
        <w:t xml:space="preserve"> intracellular survival and</w:t>
      </w:r>
      <w:r w:rsidR="00A933D4">
        <w:t xml:space="preserve"> virulence, as it is necessary </w:t>
      </w:r>
      <w:r w:rsidR="00604DDA">
        <w:t>for phagosomal escape</w:t>
      </w:r>
      <w:r w:rsidR="00A933D4">
        <w:t xml:space="preserve"> </w:t>
      </w:r>
      <w:r w:rsidR="00604DDA">
        <w:fldChar w:fldCharType="begin"/>
      </w:r>
      <w:r w:rsidR="00604DDA">
        <w:instrText xml:space="preserve"> ADDIN ZOTERO_ITEM CSL_CITATION {"citationID":"uPiVaVTk","properties":{"formattedCitation":"(Brodmann et al. 2017)","plainCitation":"(Brodmann et al. 2017)","noteIndex":0},"citationItems":[{"id":283,"uris":["http://zotero.org/users/10474456/items/VMP3EJBF"],"itemData":{"id":283,"type":"article-journal","abstract":"Francisella tularensis is an intracellular pathogen that causes the fatal zoonotic disease tularaemia. Critical for its pathogenesis is the ability of the phagocytosed bacteria to escape into the cell cytosol. For this, the bacteria use a non-canonical type VI secretion system (T6SS) encoded on the Francisella pathogenicity island (FPI). Here we show that in F. novicida T6SS assembly initiates at the bacterial poles both in vitro and within infected macrophages. T6SS dynamics and function depends on the general purpose ClpB unfoldase, which specifically colocalizes with contracted sheaths and is required for their disassembly. T6SS assembly depends on iglF, iglG, iglI and iglJ, whereas pdpC, pdpD, pdpE and anmK are dispensable. Importantly, strains lacking pdpC and pdpD are unable to escape from phagosome, activate AIM2 inflammasome or cause disease in mice. This suggests that PdpC and PdpD are T6SS effectors involved in phagosome rupture.","container-title":"Nature Communications","DOI":"10.1038/ncomms15853","ISSN":"2041-1723","issue":"1","journalAbbreviation":"Nat Commun","language":"en","license":"2017 The Author(s)","note":"number: 1\npublisher: Nature Publishing Group","page":"15853","source":"www.nature.com","title":"Francisella requires dynamic type VI secretion system and ClpB to deliver effectors for phagosomal escape","volume":"8","author":[{"family":"Brodmann","given":"Maj"},{"family":"Dreier","given":"Roland F."},{"family":"Broz","given":"Petr"},{"family":"Basler","given":"Marek"}],"issued":{"date-parts":[["2017",6,16]]}}}],"schema":"https://github.com/citation-style-language/schema/raw/master/csl-citation.json"} </w:instrText>
      </w:r>
      <w:r w:rsidR="00604DDA">
        <w:fldChar w:fldCharType="separate"/>
      </w:r>
      <w:r w:rsidR="00604DDA" w:rsidRPr="00604DDA">
        <w:rPr>
          <w:rFonts w:cs="Arial"/>
        </w:rPr>
        <w:t>(Brodmann et al. 2017)</w:t>
      </w:r>
      <w:r w:rsidR="00604DDA">
        <w:fldChar w:fldCharType="end"/>
      </w:r>
      <w:r w:rsidR="00604DDA">
        <w:t xml:space="preserve">. </w:t>
      </w:r>
    </w:p>
    <w:p w14:paraId="152399F5" w14:textId="111F4F4D" w:rsidR="00604DDA" w:rsidRPr="00450C36" w:rsidRDefault="007A7473" w:rsidP="005C77D7">
      <w:pPr>
        <w:spacing w:line="480" w:lineRule="auto"/>
        <w:ind w:firstLine="450"/>
        <w:jc w:val="both"/>
      </w:pPr>
      <w:r>
        <w:t xml:space="preserve">Consistent with their </w:t>
      </w:r>
      <w:r w:rsidR="002107B2">
        <w:t>essentiality</w:t>
      </w:r>
      <w:r>
        <w:t xml:space="preserve"> </w:t>
      </w:r>
      <w:r w:rsidR="00990BE3">
        <w:t xml:space="preserve">for </w:t>
      </w:r>
      <w:r w:rsidR="002107B2">
        <w:t>intramacrophage</w:t>
      </w:r>
      <w:r>
        <w:t xml:space="preserve"> </w:t>
      </w:r>
      <w:r w:rsidR="002107B2">
        <w:t>survival</w:t>
      </w:r>
      <w:r>
        <w:t>, FPI</w:t>
      </w:r>
      <w:r w:rsidR="00604DDA">
        <w:t xml:space="preserve"> genes are up</w:t>
      </w:r>
      <w:r w:rsidR="00622D83">
        <w:t>-</w:t>
      </w:r>
      <w:r w:rsidR="00604DDA">
        <w:t xml:space="preserve">regulated </w:t>
      </w:r>
      <w:r w:rsidR="00A933D4">
        <w:t xml:space="preserve">when </w:t>
      </w:r>
      <w:r w:rsidR="00A933D4" w:rsidRPr="001258D9">
        <w:rPr>
          <w:i/>
          <w:iCs/>
        </w:rPr>
        <w:t>F. tularensis</w:t>
      </w:r>
      <w:r w:rsidR="00A933D4">
        <w:t xml:space="preserve"> infect</w:t>
      </w:r>
      <w:r w:rsidR="00604DDA">
        <w:t xml:space="preserve"> macrophage </w:t>
      </w:r>
      <w:r w:rsidR="00604DDA">
        <w:fldChar w:fldCharType="begin"/>
      </w:r>
      <w:r w:rsidR="002107B2">
        <w:instrText xml:space="preserve"> ADDIN ZOTERO_ITEM CSL_CITATION {"citationID":"Kg4R7Tnh","properties":{"formattedCitation":"(Bent et al. 2013; Golovliov et al. 1997)","plainCitation":"(Bent et al. 2013; Golovliov et al. 1997)","noteIndex":0},"citationItems":[{"id":391,"uris":["http://zotero.org/users/10474456/items/4V5I3NCW"],"itemData":{"id":391,"type":"article-journal","abstract":"Francisella tularensis is a zoonotic intracellular pathogen that is capable of causing potentially fatal human infections. Like all successful bacterial pathogens, F. tularensis rapidly responds to changes in its environment during infection of host cells, and upon encountering different microenvironments within those cells. This ability to appropriately respond to the challenges of infection requires rapid and global shifts in gene expression patterns. In this study, we use a novel pathogen transcript enrichment strategy and whole transcriptome sequencing (RNA-Seq) to perform a detailed characterization of the rapid and global shifts in F. tularensis LVS gene expression during infection of murine macrophages. We performed differential gene expression analysis on all bacterial genes at two key stages of infection: phagosomal escape, and cytosolic replication. By comparing the F. tularensis transcriptome at these two stages of infection to that of the bacteria grown in culture, we were able to identify sets of genes that are differentially expressed over the course of infection. This analysis revealed the temporally dynamic expression of a number of known and putative transcriptional regulators and virulence factors, providing insight into their role during infection. In addition, we identified several F. tularensis genes that are significantly up-regulated during infection but had not been previously identified as virulence factors. These unknown genes may make attractive therapeutic or vaccine targets.","container-title":"PLOS ONE","DOI":"10.1371/journal.pone.0077834","ISSN":"1932-6203","issue":"10","journalAbbreviation":"PLOS ONE","language":"en","note":"publisher: Public Library of Science","page":"e77834","source":"PLoS Journals","title":"Use of a Capture-Based Pathogen Transcript Enrichment Strategy for RNA-Seq Analysis of the Francisella Tularensis LVS Transcriptome during Infection of Murine Macrophages","volume":"8","author":[{"family":"Bent","given":"Zachary W."},{"family":"Brazel","given":"David M."},{"family":"Tran-Gyamfi","given":"Mary B."},{"family":"Hamblin","given":"Rachelle Y."},{"family":"VanderNoot","given":"Victoria A."},{"family":"Branda","given":"Steven S."}],"issued":{"date-parts":[["2013",10,14]]}}},{"id":302,"uris":["http://zotero.org/users/10474456/items/3Z7PMN97"],"itemData":{"id":302,"type":"article-journal","abstract":"The adaptation of facultative intracellular bacteria to host macrophages involves regulation of the synthesis of bacterial proteins. We analyzed the protein synthesis of Francisella tularensis LVS growing intracellularly in the macrophage-like murine cell line J774 and extracellularly in culture medium. After pulse-labeling with [35S] methionine and separation by one- and two-dimensional polyacrylamide gel electrophoresis, induction of a few proteins during intracellular growth was demonstrated. One of them, a 23-kDa protein, was prominently induced in the macrophages and also when extracellularly growing F. tularensis was exposed to hydrogen peroxide. After isolation of the 23-kDa protein from a preparative two-dimensional gel, a 22-amino-acid N-terminal peptide and two peptides obtained by trypsin digestion were sequenced. Based on the sequences, degenerate oligonucleotides were constructed for use as primers in a PCR. Hybridization of amplified DNA to XbaI-digested LVS DNA identified the gene of the 23-kDa protein in a 1.3-kb DNA fragment. Nucleotide sequence analysis revealed an open reading frame encoding a putative protein of a calculated molecular mass of 22.2 kDa. The open reading frame was preceded by a sequence typical of ribosome-binding sites in Escherichia coli. The amplified gene was successfully expressed by the pTrc99A vector in E. coli under control of the trc promoter. The gene product showed the same mobility and immunoreactivity as the 23-kDa protein of F. tularensis. The deduced amino acid sequence showed no significant homology with protein sequences in current data banks. Thus, intracellular growth of F. tularensis in macrophages was associated with prominent upregulation of a novel 23-kDa protein.","container-title":"Infection and Immunity","ISSN":"0019-9567","issue":"6","journalAbbreviation":"Infect Immun","note":"PMID: 9169749\nPMCID: PMC175301","page":"2183-2189","source":"PubMed Central","title":"Identification of proteins of Francisella tularensis induced during growth in macrophages and cloning of the gene encoding a prominently induced 23-kilodalton protein.","volume":"65","author":[{"family":"Golovliov","given":"I"},{"family":"Ericsson","given":"M"},{"family":"Sandström","given":"G"},{"family":"Tärnvik","given":"A"},{"family":"Sjöstedt","given":"A"}],"issued":{"date-parts":[["1997",6]]}}}],"schema":"https://github.com/citation-style-language/schema/raw/master/csl-citation.json"} </w:instrText>
      </w:r>
      <w:r w:rsidR="00604DDA">
        <w:fldChar w:fldCharType="separate"/>
      </w:r>
      <w:r w:rsidR="002107B2" w:rsidRPr="002107B2">
        <w:rPr>
          <w:rFonts w:cs="Arial"/>
        </w:rPr>
        <w:t>(Bent et al. 2013; Golovliov et al. 1997)</w:t>
      </w:r>
      <w:r w:rsidR="00604DDA">
        <w:fldChar w:fldCharType="end"/>
      </w:r>
      <w:r w:rsidR="00604DDA">
        <w:t xml:space="preserve">. </w:t>
      </w:r>
      <w:r w:rsidR="000B4FE4">
        <w:t>Significant work has</w:t>
      </w:r>
      <w:r w:rsidR="002107B2">
        <w:t xml:space="preserve"> reveal</w:t>
      </w:r>
      <w:r w:rsidR="00F13EEC">
        <w:t>ed</w:t>
      </w:r>
      <w:r w:rsidR="002107B2">
        <w:t xml:space="preserve"> </w:t>
      </w:r>
      <w:r w:rsidR="000B4FE4">
        <w:t xml:space="preserve">how the FPI genes are </w:t>
      </w:r>
      <w:r w:rsidR="00A933D4">
        <w:t xml:space="preserve">controlled at the level of </w:t>
      </w:r>
      <w:r w:rsidR="002107B2">
        <w:t>transcription</w:t>
      </w:r>
      <w:r w:rsidR="00604DDA">
        <w:t xml:space="preserve">. </w:t>
      </w:r>
      <w:r w:rsidR="002107B2">
        <w:t>S</w:t>
      </w:r>
      <w:r w:rsidR="00604DDA">
        <w:t>pecific</w:t>
      </w:r>
      <w:r w:rsidR="002107B2">
        <w:t>ally,</w:t>
      </w:r>
      <w:r w:rsidR="00604DDA">
        <w:t xml:space="preserve"> </w:t>
      </w:r>
      <w:r w:rsidR="002107B2">
        <w:t xml:space="preserve">the FPI </w:t>
      </w:r>
      <w:r w:rsidR="00604DDA">
        <w:t>gene</w:t>
      </w:r>
      <w:r w:rsidR="002107B2">
        <w:t>s</w:t>
      </w:r>
      <w:r w:rsidR="00604DDA">
        <w:t xml:space="preserve"> </w:t>
      </w:r>
      <w:r w:rsidR="00CC2B64">
        <w:t>are</w:t>
      </w:r>
      <w:r w:rsidR="002107B2">
        <w:t xml:space="preserve"> regulated by </w:t>
      </w:r>
      <w:r w:rsidR="00CC2B64">
        <w:t xml:space="preserve">the transcription factors </w:t>
      </w:r>
      <w:r w:rsidR="002107B2">
        <w:t xml:space="preserve">MglA, SspA, </w:t>
      </w:r>
      <w:r w:rsidR="00CC2B64">
        <w:t xml:space="preserve">and </w:t>
      </w:r>
      <w:r w:rsidR="002107B2">
        <w:t>PigR</w:t>
      </w:r>
      <w:r w:rsidR="004E29BD">
        <w:t xml:space="preserve">, </w:t>
      </w:r>
      <w:r w:rsidR="00CC2B64">
        <w:t xml:space="preserve">acting together with </w:t>
      </w:r>
      <w:r w:rsidR="004E29BD">
        <w:t>the small molecule ppGpp</w:t>
      </w:r>
      <w:r w:rsidR="002107B2">
        <w:t>.</w:t>
      </w:r>
      <w:r w:rsidR="00604DDA">
        <w:t xml:space="preserve"> </w:t>
      </w:r>
      <w:r w:rsidR="00406F9E">
        <w:t>The specific mechanism of regulation relies on</w:t>
      </w:r>
      <w:r w:rsidR="00B607B2">
        <w:t xml:space="preserve"> </w:t>
      </w:r>
      <w:r w:rsidR="0091565C">
        <w:t>the intrinsic formation of the MglA-SspA complex, and its interactions</w:t>
      </w:r>
      <w:r w:rsidR="00406F9E">
        <w:t xml:space="preserve"> with the RNA polymerase</w:t>
      </w:r>
      <w:r w:rsidR="004E0078">
        <w:t>.</w:t>
      </w:r>
      <w:r w:rsidR="00B36788">
        <w:t xml:space="preserve"> </w:t>
      </w:r>
      <w:r w:rsidR="004E29BD">
        <w:t xml:space="preserve">In the presence of ppGpp, </w:t>
      </w:r>
      <w:r w:rsidR="00AA578A">
        <w:t>PigR (</w:t>
      </w:r>
      <w:r w:rsidR="002751E4">
        <w:t xml:space="preserve">also referred to as </w:t>
      </w:r>
      <w:r w:rsidR="00AA578A">
        <w:t>FevR</w:t>
      </w:r>
      <w:r w:rsidR="002751E4">
        <w:t xml:space="preserve"> in </w:t>
      </w:r>
      <w:r w:rsidR="002751E4" w:rsidRPr="00256073">
        <w:rPr>
          <w:i/>
          <w:iCs/>
        </w:rPr>
        <w:t>F. novicida</w:t>
      </w:r>
      <w:r w:rsidR="00AA578A">
        <w:t xml:space="preserve">) </w:t>
      </w:r>
      <w:r w:rsidR="0094162D">
        <w:t xml:space="preserve">interacts directly </w:t>
      </w:r>
      <w:r w:rsidR="004E29BD">
        <w:t xml:space="preserve">with the MglA-SspA complex </w:t>
      </w:r>
      <w:r w:rsidR="00AA578A">
        <w:t xml:space="preserve">to positively regulate </w:t>
      </w:r>
      <w:r w:rsidR="004E29BD">
        <w:t>genes</w:t>
      </w:r>
      <w:r w:rsidR="0094162D">
        <w:t xml:space="preserve"> with a specific PigR-responsive element (PRE), including FPI genes</w:t>
      </w:r>
      <w:r w:rsidR="00AA578A">
        <w:t xml:space="preserve"> </w:t>
      </w:r>
      <w:r w:rsidR="00AA578A">
        <w:lastRenderedPageBreak/>
        <w:fldChar w:fldCharType="begin"/>
      </w:r>
      <w:r w:rsidR="00185591">
        <w:instrText xml:space="preserve"> ADDIN ZOTERO_ITEM CSL_CITATION {"citationID":"uvsznaoH","properties":{"formattedCitation":"(Charity et al. 2007; Cuthbert et al. 2017; Ramsey et al. 2015; Rohlfing and Dove 2014; Travis et al. 2021)","plainCitation":"(Charity et al. 2007; Cuthbert et al. 2017; Ramsey et al. 2015; Rohlfing and Dove 2014; Travis et al. 2021)","noteIndex":0},"citationItems":[{"id":356,"uris":["http://zotero.org/users/10474456/items/3RDERUDF"],"itemData":{"id":356,"type":"article-journal","abstract":"The MglA protein is the only known regulator of virulence gene expression in Francisella tularensis, yet it is unclear how it functions. F. tularensis also contains an MglA-like protein called SspA. Here, we show that MglA and SspA cooperate with one another to control virulence gene expression in F. tularensis. Using a directed proteomic approach, we show that both MglA and SspA associate with RNA polymerase (RNAP) in F. tularensis, and that SspA is required for MglA to associate with RNAP. Furthermore, bacterial two-hybrid and biochemical assays indicate that MglA and SspA interact with one another directly. Finally, through genome-wide expression analyses, we demonstrate that MglA and SspA regulate the same set of genes. Our results suggest that a complex involving both MglA and SspA associates with RNAP to positively control virulence gene expression in F. tularensis. The F. tularensis genome is unusual in that it contains two genes encoding different α subunits of RNAP, and we show here that these two α subunits are incorporated into RNAP. Thus, as well as identifying SspA as a second critical regulator of virulence gene expression in F. tularensis, our findings provide a framework for understanding the mechanistic basis for virulence gene control in a bacterium whose transcription apparatus is unique.","container-title":"PLOS Pathogens","DOI":"10.1371/journal.ppat.0030084","ISSN":"1553-7374","issue":"6","journalAbbreviation":"PLOS Pathogens","language":"en","note":"publisher: Public Library of Science","page":"e84","source":"PLoS Journals","title":"Twin RNA Polymerase–Associated Proteins Control Virulence Gene Expression in Francisella tularensis","volume":"3","author":[{"family":"Charity","given":"James C."},{"family":"Costante-Hamm","given":"Michelle M."},{"family":"Balon","given":"Emmy L."},{"family":"Boyd","given":"Dana H."},{"family":"Rubin","given":"Eric J."},{"family":"Dove","given":"Simon L."}],"issued":{"date-parts":[["2007",6,15]]}}},{"id":393,"uris":["http://zotero.org/users/10474456/items/PDIW6TT5"],"itemData":{"id":393,"type":"article-journal","abstract":"Cuthbert et al. identify MglA–SspA as a novel ppGpp-binding complex and describe structures of apo- and ppGpp-bound MglA–SspA., Francisella tularensis, the etiological agent of tularemia, is one of the most infectious bacteria known. Because of its extreme pathogenicity, F. tularensis is classified as a category A bioweapon by the US government. F. tularensis virulence stems from genes encoded on the Francisella pathogenicity island (FPI). An unusual set of Francisella regulators—the heteromeric macrophage growth locus protein A (MglA)–stringent starvation protein A (SspA) complex and the DNA-binding protein pathogenicity island gene regulator (PigR)—activates FPI transcription and thus is essential for virulence. Intriguingly, the second messenger, guanosine–tetraphosphate (ppGpp), which is produced during infection, is also involved in coordinating Francisella virulence; however, its role has been unclear. Here we identify MglA–SspA as a novel ppGpp-binding complex and describe structures of apo- and ppGpp-bound MglA–SspA. We demonstrate that MglA–SspA, which binds RNA polymerase (RNAP), also interacts with the C-terminal domain of PigR, thus anchoring the (MglA–SspA)–RNAP complex to the FPI promoter. Furthermore, we show that MglA–SspA must be bound to ppGpp to mediate high-affinity interactions with PigR. Thus, these studies unveil a novel pathway different from those described previously for regulation of transcription by ppGpp. The data also indicate that F. tularensis pathogenesis is controlled by a highly interconnected molecular circuitry in which the virulence machinery directly senses infection via a small molecule stress signal.","container-title":"Genes &amp; Development","DOI":"10.1101/gad.303701.117","ISSN":"0890-9369","issue":"15","journalAbbreviation":"Genes Dev","note":"PMID: 28864445\nPMCID: PMC5630020","page":"1549-1560","source":"PubMed Central","title":"Dissection of the molecular circuitry controlling virulence in Francisella tularensis","volume":"31","author":[{"family":"Cuthbert","given":"Bonnie J."},{"family":"Ross","given":"Wilma"},{"family":"Rohlfing","given":"Amy E."},{"family":"Dove","given":"Simon L."},{"family":"Gourse","given":"Richard L."},{"family":"Brennan","given":"Richard G."},{"family":"Schumacher","given":"Maria A."}],"issued":{"date-parts":[["2017",8,1]]}}},{"id":399,"uris":["http://zotero.org/users/10474456/items/XJB9JQKI"],"itemData":{"id":399,"type":"article-journal","abstract":"Francisella tularensis is a Gram-negative bacterium whose ability to replicate within macrophages and cause disease is strictly dependent upon the coordinate activities of three transcription regulators called MglA, SspA, and PigR. MglA and SspA form a complex that associates with RNA polymerase (RNAP), whereas PigR is a putative DNA-binding protein that functions by contacting the MglA-SspA complex. Most transcription activators that bind the DNA are thought to occupy only those promoters whose activities they regulate. Here we show using chromatin immunoprecipitation coupled with high-throughput DNA sequencing (ChIP-Seq) that PigR, MglA, and SspA are found at virtually all promoters in F. tularensis and not just those of regulated genes. Furthermore, we find that the ability of PigR to associate with promoters is dependent upon the presence of MglA, suggesting that interaction with the RNAP-associated MglA-SspA complex is what directs PigR to promoters in F. tularensis. Finally, we present evidence that the ability of PigR (and thus MglA and SspA) to positively control the expression of genes is dictated by a specific 7 base pair sequence element that is present in the promoters of regulated genes. The three principal regulators of virulence gene expression in F. tularensis therefore function in a non-classical manner with PigR interacting with the RNAP-associated MglA-SspA complex at the majority of promoters but only activating transcription from those that contain a specific sequence element. Our findings reveal how transcription factors can exert regulatory effects at a restricted set of promoters despite being associated with most or all. This distinction between occupancy and regulatory effect uncovered by our data may be relevant to the study of RNAP-associated transcription regulators in other pathogenic bacteria.","container-title":"PLOS Pathogens","DOI":"10.1371/journal.ppat.1004793","ISSN":"1553-7374","issue":"4","journalAbbreviation":"PLOS Pathogens","language":"en","note":"publisher: Public Library of Science","page":"e1004793","source":"PLoS Journals","title":"Ubiquitous Promoter-Localization of Essential Virulence Regulators in Francisella tularensis","volume":"11","author":[{"family":"Ramsey","given":"Kathryn M."},{"family":"Osborne","given":"Melisa L."},{"family":"Vvedenskaya","given":"Irina O."},{"family":"Su","given":"Cathy"},{"family":"Nickels","given":"Bryce E."},{"family":"Dove","given":"Simon L."}],"issued":{"date-parts":[["2015",4,1]]}}},{"id":358,"uris":["http://zotero.org/users/10474456/items/AGVEX77D"],"itemData":{"id":358,"type":"article-journal","abstract":"In Francisella tularensis, the putative DNA-binding protein PigR works in concert with the SspA protein family members MglA and SspA to control the expression of genes that are essential for the intramacrophage growth and survival of the organism. MglA and SspA form a complex that interacts with RNA polymerase (RNAP), and this interaction between the MglA-SspA complex and RNAP is thought to be critical to its regulatory function. How PigR works in concert with the MglA-SspA complex is not known; previously published findings differ over whether PigR interacts with the MglA-SspA complex, leading to disparate models for how PigR and the MglA-SspA complex exert their regulatory effects. Here, using a combination of genetic assays, we identify mutants of MglA and SspA that are specifically defective for interaction with PigR. Analysis of the MglA and SspA mutants in F. tularensis reveals that interaction between PigR and the MglA-SspA complex is essential in order for PigR to work coordinately with MglA and SspA to positively regulate the expression of virulence genes. Our findings uncover a surface of the MglA-SspA complex that is important for interaction with PigR and support the idea that PigR exerts its regulatory effects through an interaction with the RNAP-associated MglA-SspA complex.","container-title":"Journal of Bacteriology","DOI":"10.1128/jb.01700-14","issue":"19","note":"publisher: American Society for Microbiology","page":"3516-3526","source":"journals.asm.org (Atypon)","title":"Coordinate Control of Virulence Gene Expression in Francisella tularensis Involves Direct Interaction between Key Regulators","volume":"196","author":[{"family":"Rohlfing","given":"Amy E."},{"family":"Dove","given":"Simon L."}],"issued":{"date-parts":[["2014",9,4]]}}},{"id":396,"uris":["http://zotero.org/users/10474456/items/VRLQDWCB"],"itemData":{"id":396,"type":"article-journal","abstract":"The bacterium Francisella tularensis (Ft) is one of the most infectious agents known. Ft virulence is controlled by a unique combination of transcription regulators: the MglA-SspA heterodimer, PigR, and the stress signal, ppGpp. MglA-SspA assembles with the σ70-associated RNAP holoenzyme (RNAPσ70), forming a virulence-specialized polymerase. These factors activate Francisella pathogenicity island (FPI) gene expression, which is required for virulence, but the mechanism is unknown. Here we report FtRNAPσ70-promoter-DNA, FtRNAPσ70-(MglA-SspA)-promoter DNA, and FtRNAPσ70-(MglA-SspA)-ppGpp-PigR-promoter DNA cryo-EM structures. Structural and genetic analyses show MglA-SspA facilitates σ70 binding to DNA to regulate virulence and virulence-enhancing genes. Our Escherichia coli RNAPσ70-homodimeric EcSspA structure suggests this is a general SspA-transcription regulation mechanism. Strikingly, our FtRNAPσ70-(MglA-SspA)-ppGpp-PigR-DNA structure reveals ppGpp binding to MglA-SspA tethers PigR to promoters. PigR in turn recruits FtRNAP αCTDs to DNA UP elements. Thus, these studies unveil a unique mechanism for Ft pathogenesis involving a virulence-specialized RNAP that employs two (MglA-SspA)-based strategies to activate virulence genes.","container-title":"Molecular Cell","DOI":"10.1016/j.molcel.2020.10.035","ISSN":"1097-4164","issue":"1","journalAbbreviation":"Mol Cell","language":"eng","note":"PMID: 33217319\nPMCID: PMC7959165","page":"139-152.e10","source":"PubMed","title":"Structural Basis for Virulence Activation of Francisella tularensis","volume":"81","author":[{"family":"Travis","given":"Brady A."},{"family":"Ramsey","given":"Kathryn M."},{"family":"Prezioso","given":"Samantha M."},{"family":"Tallo","given":"Thomas"},{"family":"Wandzilak","given":"Jamie M."},{"family":"Hsu","given":"Allen"},{"family":"Borgnia","given":"Mario"},{"family":"Bartesaghi","given":"Alberto"},{"family":"Dove","given":"Simon L."},{"family":"Brennan","given":"Richard G."},{"family":"Schumacher","given":"Maria A."}],"issued":{"date-parts":[["2021",1,7]]}}}],"schema":"https://github.com/citation-style-language/schema/raw/master/csl-citation.json"} </w:instrText>
      </w:r>
      <w:r w:rsidR="00AA578A">
        <w:fldChar w:fldCharType="separate"/>
      </w:r>
      <w:r w:rsidR="00185591" w:rsidRPr="00185591">
        <w:rPr>
          <w:rFonts w:cs="Arial"/>
        </w:rPr>
        <w:t>(Charity et al. 2007; Cuthbert et al. 2017; Ramsey et al. 2015; Rohlfing and Dove 2014; Travis et al. 2021)</w:t>
      </w:r>
      <w:r w:rsidR="00AA578A">
        <w:fldChar w:fldCharType="end"/>
      </w:r>
      <w:r w:rsidR="00AA578A">
        <w:t xml:space="preserve">. </w:t>
      </w:r>
    </w:p>
    <w:p w14:paraId="4DA912C2" w14:textId="77777777" w:rsidR="00076D2B" w:rsidRPr="00671685" w:rsidRDefault="0044089A" w:rsidP="00076D2B">
      <w:pPr>
        <w:keepNext/>
        <w:spacing w:line="480" w:lineRule="auto"/>
      </w:pPr>
      <w:r w:rsidRPr="00671685">
        <w:rPr>
          <w:noProof/>
        </w:rPr>
        <w:drawing>
          <wp:inline distT="0" distB="0" distL="0" distR="0" wp14:anchorId="72A7305B" wp14:editId="76BB9009">
            <wp:extent cx="4373880" cy="3794760"/>
            <wp:effectExtent l="0" t="0" r="7620" b="0"/>
            <wp:docPr id="1987145908" name="Picture 1" descr="A picture containing text, screenshot, rock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145908" name="Picture 1" descr="A picture containing text, screenshot, rocket&#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73880" cy="3794760"/>
                    </a:xfrm>
                    <a:prstGeom prst="rect">
                      <a:avLst/>
                    </a:prstGeom>
                    <a:noFill/>
                    <a:ln>
                      <a:noFill/>
                    </a:ln>
                  </pic:spPr>
                </pic:pic>
              </a:graphicData>
            </a:graphic>
          </wp:inline>
        </w:drawing>
      </w:r>
    </w:p>
    <w:p w14:paraId="5555D4F7" w14:textId="461FDC44" w:rsidR="007853B1" w:rsidRDefault="00076D2B" w:rsidP="007853B1">
      <w:pPr>
        <w:spacing w:after="240"/>
        <w:jc w:val="both"/>
      </w:pPr>
      <w:r w:rsidRPr="00671685">
        <w:rPr>
          <w:b/>
          <w:bCs/>
        </w:rPr>
        <w:t xml:space="preserve">Figure </w:t>
      </w:r>
      <w:r w:rsidRPr="00671685">
        <w:rPr>
          <w:b/>
          <w:bCs/>
        </w:rPr>
        <w:fldChar w:fldCharType="begin"/>
      </w:r>
      <w:r w:rsidRPr="00671685">
        <w:rPr>
          <w:b/>
          <w:bCs/>
        </w:rPr>
        <w:instrText xml:space="preserve"> SEQ Figure \* ARABIC </w:instrText>
      </w:r>
      <w:r w:rsidRPr="00671685">
        <w:rPr>
          <w:b/>
          <w:bCs/>
        </w:rPr>
        <w:fldChar w:fldCharType="separate"/>
      </w:r>
      <w:r w:rsidR="008D6F6A">
        <w:rPr>
          <w:b/>
          <w:bCs/>
          <w:noProof/>
        </w:rPr>
        <w:t>1</w:t>
      </w:r>
      <w:r w:rsidRPr="00671685">
        <w:rPr>
          <w:b/>
          <w:bCs/>
        </w:rPr>
        <w:fldChar w:fldCharType="end"/>
      </w:r>
      <w:r w:rsidRPr="00671685">
        <w:rPr>
          <w:b/>
          <w:bCs/>
        </w:rPr>
        <w:t xml:space="preserve">. A number of Type VI Secretion System proteins and their functions are defined in </w:t>
      </w:r>
      <w:r w:rsidRPr="00671685">
        <w:rPr>
          <w:b/>
          <w:bCs/>
          <w:i/>
          <w:iCs/>
        </w:rPr>
        <w:t>F. tularensis.</w:t>
      </w:r>
      <w:r w:rsidRPr="00671685">
        <w:rPr>
          <w:i/>
          <w:iCs/>
        </w:rPr>
        <w:t xml:space="preserve"> </w:t>
      </w:r>
      <w:r w:rsidRPr="00671685">
        <w:t xml:space="preserve">Illustration depicting the extended (left) and contracted (right), forms of the canonical and </w:t>
      </w:r>
      <w:r w:rsidRPr="00671685">
        <w:rPr>
          <w:i/>
          <w:iCs/>
        </w:rPr>
        <w:t>Francisella</w:t>
      </w:r>
      <w:r w:rsidRPr="00671685">
        <w:t xml:space="preserve"> Type VI Secretion System (T6SS). Identified </w:t>
      </w:r>
      <w:r w:rsidRPr="00671685">
        <w:rPr>
          <w:i/>
          <w:iCs/>
        </w:rPr>
        <w:t xml:space="preserve">F. tularensis </w:t>
      </w:r>
      <w:r w:rsidRPr="00671685">
        <w:t xml:space="preserve">T6SS proteins are indicated in blue font, whereas canonical elements are indicated in black font </w:t>
      </w:r>
      <w:r w:rsidRPr="00671685">
        <w:fldChar w:fldCharType="begin"/>
      </w:r>
      <w:r w:rsidR="000C347F">
        <w:instrText xml:space="preserve"> ADDIN ZOTERO_ITEM CSL_CITATION {"citationID":"5za9bF57","properties":{"formattedCitation":"(Clemens et al. 2018)","plainCitation":"(Clemens et al. 2018)","noteIndex":0},"citationItems":[{"id":249,"uris":["http://zotero.org/users/10474456/items/5MZTIWS4"],"itemData":{"id":249,"type":"article-journal","abstract":"Francisella tularensisis subsp. tularensis is an intracellular bacterial pathogen and the causative agent of the life-threatening zoonotic disease tularemia. The Francisella Pathogenicity Island encodes a large secretion apparatus, known as a Type VI Secretion System (T6SS), which is essential for Francisella to escape from its phagosome and multiply within host macrophages and to cause disease in animals. The T6SS, found in one-quarter of Gram-negative bacteria including many highly pathogenic ones, is a recently discovered secretion system that is not yet fully understood. Nevertheless, there have been remarkable advances in our understanding of the structure, composition, and function of T6SSs of several bacteria in the past few years. The system operates like an inside-out headless contractile phage that is anchored to the bacterial membrane via a baseplate and membrane complex. The system injects effector molecules across the inner and outer bacterial membrane and into host prokaryotic or eukaryotic targets to kill, intoxicate, or in the case of Francisella, hijack the target cell. Recent advances include an atomic model of the contractile sheath, insights into the mechanics of sheath contraction, the composition of the baseplate and membrane complex, the process of assembly of the apparatus, and identification of numerous effector molecules and activities. While Francisella T6SS appears to be an outlier among T6SSs, with limited or no sequence homology with other systems, its structure and organization are strikingly similar to other systems. Nevertheless, we have only scratched the surface in uncovering the mysteries of the Francisella T6SS, and there are numerous questions that remain to be answered.","container-title":"Frontiers in Cellular and Infection Microbiology","ISSN":"2235-2988","source":"Frontiers","title":"The Francisella Type VI Secretion System","URL":"https://www.frontiersin.org/articles/10.3389/fcimb.2018.00121","volume":"8","author":[{"family":"Clemens","given":"Daniel L."},{"family":"Lee","given":"Bai-Yu"},{"family":"Horwitz","given":"Marcus A."}],"accessed":{"date-parts":[["2023",6,16]]},"issued":{"date-parts":[["2018"]]}}}],"schema":"https://github.com/citation-style-language/schema/raw/master/csl-citation.json"} </w:instrText>
      </w:r>
      <w:r w:rsidRPr="00671685">
        <w:fldChar w:fldCharType="separate"/>
      </w:r>
      <w:r w:rsidR="000C347F" w:rsidRPr="000C347F">
        <w:rPr>
          <w:rFonts w:cs="Arial"/>
        </w:rPr>
        <w:t>(Clemens et al. 2018)</w:t>
      </w:r>
      <w:r w:rsidRPr="00671685">
        <w:fldChar w:fldCharType="end"/>
      </w:r>
      <w:r w:rsidRPr="00671685">
        <w:t xml:space="preserve">. </w:t>
      </w:r>
    </w:p>
    <w:p w14:paraId="40ADA811" w14:textId="0D242EF8" w:rsidR="007853B1" w:rsidRPr="00450C36" w:rsidRDefault="000F2B9C" w:rsidP="002E2767">
      <w:pPr>
        <w:spacing w:line="480" w:lineRule="auto"/>
        <w:ind w:firstLine="450"/>
        <w:jc w:val="both"/>
      </w:pPr>
      <w:bookmarkStart w:id="3" w:name="_Hlk140614866"/>
      <w:r>
        <w:t xml:space="preserve"> </w:t>
      </w:r>
      <w:r w:rsidRPr="000F2B9C">
        <w:t xml:space="preserve">Because ppGpp influences the activity of PigR-regulated genes like the FPI, factors that influence ppGpp levels influence FPI gene expression. </w:t>
      </w:r>
      <w:r>
        <w:t>That said, a number of genes</w:t>
      </w:r>
      <w:r w:rsidR="007853B1">
        <w:t xml:space="preserve"> </w:t>
      </w:r>
      <w:r w:rsidR="00B607B2">
        <w:t xml:space="preserve">influence </w:t>
      </w:r>
      <w:r>
        <w:t xml:space="preserve">ppGpp levels </w:t>
      </w:r>
      <w:r>
        <w:fldChar w:fldCharType="begin"/>
      </w:r>
      <w:r w:rsidR="00ED21FF">
        <w:instrText xml:space="preserve"> ADDIN ZOTERO_ITEM CSL_CITATION {"citationID":"zNUoG9qm","properties":{"formattedCitation":"(Buchan et al. 2009; Faron et al. 2013; Travis and Schumacher 2022)","plainCitation":"(Buchan et al. 2009; Faron et al. 2013; Travis and Schumacher 2022)","noteIndex":0},"citationItems":[{"id":354,"uris":["http://zotero.org/users/10474456/items/GQU54ZT4"],"itemData":{"id":354,"type":"article-journal","abstract":"Francisella tularensis, the etiological agent of tularemia, is capable of infecting a wide range of animals and causes a severe, lethal disease in humans. The pathogen evades killing by cells of the innate immune system utilizing genes encoding a pathogenicity island, including iglABCD, and instead utilizes these cells as a niche for replication and dissemination to other organs within the host. Regulators of the igl genes (e.g., MglA, SspA, FevR and PmrA) have been identified, but environmental stimuli and mechanisms of regulation are as yet unknown and are likely to involve additional gene products. In this work, we more closely examine the roles that environmental iron and the ferric uptake repressor protein (Fur) play in the regulation of the iglABCD operon. We also used a genetic approach to identify and characterize a new regulator of the igl operon, designated migR (macrophage intracellular growth regulator; FTL_1542). Quantitative real-time reverse transcription-PCR in a site-directed migR mutant confirmed the reduction in the number of iglC transcripts in this strain and also demonstrated reduced expression of fevR. Comparison of the migR and fevR mutants in monocyte-derived macrophages (MDMs) and epithelial cell lines revealed a reduced ability for each mutant to grow in MDMs, yet only the fevR mutant exhibited impaired replication in epithelial cell lines. Confocal analysis of infected MDMs revealed that although neither mutant reached the MDM cytosol, the fevR mutant was trapped in lamp-1-positive phagosomes, whereas the migR mutant resided in mature phagolysosomes enriched with both lamp-1 and cathepsin D. Disruption of migR and fevR also impaired the ability of F. tularensis to prevent neutrophil oxidant production. Thus, we have identified migR, a gene that regulates expression of the iglABCD operon and is essential for bacterial growth in MDMs and also contributes to the blockade of neutrophil NADPH oxidase activity.","container-title":"Infection and Immunity","DOI":"10.1128/iai.00229-09","issue":"6","note":"publisher: American Society for Microbiology","page":"2517-2529","source":"journals.asm.org (Atypon)","title":"Identification of migR, a Regulatory Element of the Francisella tularensis Live Vaccine Strain iglABCD Virulence Operon Required for Normal Replication and Trafficking in Macrophages","volume":"77","author":[{"family":"Buchan","given":"Blake W."},{"family":"McCaffrey","given":"Ramona L."},{"family":"Lindemann","given":"Stephen R."},{"family":"Allen","given":"Lee-Ann H."},{"family":"Jones","given":"Bradley D."}],"issued":{"date-parts":[["2009",6]]}}},{"id":196,"uris":["http://zotero.org/users/10474456/items/7576YW8E"],"itemData":{"id":196,"type":"article-journal","abstract":"The Francisella tularensis pathogenicity island (FPI) encodes many proteins that are required for virulence. Expression of these genes depends upon\nthe FevR (PigR) regulator and its interactions with the MglA/SspA and RNA polymerase transcriptional complex. Experiments\nto identify how transcription of the FPI genes is activated have led to identification of mutations within the migR, trmE, and cphA genes that decrease FPI expression. Recent data demonstrated that the small alarmone ppGpp, produced by RelA and SpoT, is\nimportant for stabilizing MglA/SspA and FevR (PigR) interactions in Francisella. Production of ppGpp is commonly known to be activated by cellular and nutritional stress in bacteria, which indicates that\ncellular and nutritional stresses act as important signals for FPI activation. In this work, we demonstrate that mutations\nin migR, trmE, or cphA significantly reduce ppGpp accumulation. The reduction in ppGpp levels was similar for each of the mutants and correlated\nwith a corresponding reduction in iglA reporter expression. In addition, we observed that there were differences in the ability of each of these mutants to replicate\nwithin various mammalian cells, indicating that the migR, trmE, and cphA genes are likely parts of different cellular stress response pathways in Francisella. These results also indicate that different nutritional and cellular stresses exist in different mammalian cells. This work\nprovides new information to help understand how Francisella regulates its virulence genes in response to host cell environments, and it contributes to our growing knowledge of this\nhighly successful bacterial pathogen.","container-title":"Infection and immunity","DOI":"10.1128/IAI.00073-13","journalAbbreviation":"Infection and immunity","source":"ResearchGate","title":"The Francisella tularensis migR, trmE, and cphA Genes Contribute to F. Tularensis Pathogenicity Island Gene Regulation and Intracellular Growth by Modulation of the Stress Alarmone ppGpp","volume":"81","author":[{"family":"Faron","given":"Matthew"},{"family":"Fletcher","given":"Joshua"},{"family":"Rasmussen","given":"Jed"},{"family":"Long","given":"Matthew"},{"family":"Allen","given":"Lee-Ann"},{"family":"Jones","given":"Bradley"}],"issued":{"date-parts":[["2013",5,28]]}}},{"id":403,"uris":["http://zotero.org/users/10474456/items/KPY6SHPL"],"itemData":{"id":403,"type":"article-journal","abstract":"Bacteria must rapidly detect and respond to stressful environmental conditions. Guanosine tetraphosphate (ppGpp) is a universal stress signal that, in most bacteria, drives the reprograming of transcription at a global level. However, recent studies have revealed that the molecular mechanisms utilized by ppGpp to rewire bacterial transcriptomes are unexpectedly diverse. In Proteobacteria, ppGpp regulates the expression of hundreds of genes by directly binding to two sites on RNA polymerase (RNAP), one in combination with the transcription factor, DksA. Conversely, ppGpp indirectly regulates transcription in Firmicutes by controlling GTP levels. In this case, ppGpp inhibits enzymes that salvage and synthesize GTP, which indirectly represses transcription from rRNA and other promoters that use GTP for initiation. More recently, two different mechanisms of transcription regulation involving the direct binding of transcription factors by ppGpp have been described. First, in Francisella tularensis, ppGpp was shown to modulate the formation of a tripartite transcription factor complex that binds RNAP and activates virulence genes. Second, in Firmicutes, ppGpp allosterically regulates the transcription repressor, PurR, which controls purine biosynthesis genes. The diversity in bacterial ppGpp signaling revealed in these studies suggests the likelihood that additional paradigms in ppGpp-mediated transcription regulation await discovery.","container-title":"Molecular Microbiology","DOI":"10.1111/mmi.14860","ISSN":"1365-2958","issue":"2","language":"en","license":"© 2021 The Authors. Molecular Microbiology published by John Wiley &amp; Sons Ltd.","note":"_eprint: https://onlinelibrary.wiley.com/doi/pdf/10.1111/mmi.14860","page":"252-260","source":"Wiley Online Library","title":"Diverse molecular mechanisms of transcription regulation by the bacterial alarmone ppGpp","volume":"117","author":[{"family":"Travis","given":"Brady A."},{"family":"Schumacher","given":"Maria A."}],"issued":{"date-parts":[["2022"]]}}}],"schema":"https://github.com/citation-style-language/schema/raw/master/csl-citation.json"} </w:instrText>
      </w:r>
      <w:r>
        <w:fldChar w:fldCharType="separate"/>
      </w:r>
      <w:r w:rsidR="00ED21FF" w:rsidRPr="00ED21FF">
        <w:rPr>
          <w:rFonts w:cs="Arial"/>
        </w:rPr>
        <w:t>(Buchan et al. 2009; Faron et al. 2013; Travis and Schumacher 2022)</w:t>
      </w:r>
      <w:r>
        <w:fldChar w:fldCharType="end"/>
      </w:r>
      <w:r w:rsidR="00B607B2">
        <w:t xml:space="preserve">. </w:t>
      </w:r>
      <w:r>
        <w:t xml:space="preserve">Ultimately, this leads to a complex network of regulators all </w:t>
      </w:r>
      <w:r w:rsidR="00622D83">
        <w:t>affecting</w:t>
      </w:r>
      <w:r>
        <w:t xml:space="preserve"> </w:t>
      </w:r>
      <w:r>
        <w:rPr>
          <w:i/>
          <w:iCs/>
        </w:rPr>
        <w:t xml:space="preserve">F. tularensis </w:t>
      </w:r>
      <w:r>
        <w:t>pathogenicity</w:t>
      </w:r>
      <w:r w:rsidR="00185591">
        <w:t>.</w:t>
      </w:r>
    </w:p>
    <w:bookmarkEnd w:id="3"/>
    <w:p w14:paraId="040FF87C" w14:textId="4321A9E1" w:rsidR="00755A4F" w:rsidRPr="005028D6" w:rsidRDefault="00755A4F" w:rsidP="005028D6">
      <w:pPr>
        <w:spacing w:before="240" w:line="480" w:lineRule="auto"/>
        <w:rPr>
          <w:b/>
          <w:bCs/>
        </w:rPr>
      </w:pPr>
      <w:r w:rsidRPr="005028D6">
        <w:rPr>
          <w:b/>
          <w:bCs/>
        </w:rPr>
        <w:t>Ribosome production is tightly regulated.</w:t>
      </w:r>
    </w:p>
    <w:p w14:paraId="73BC5654" w14:textId="121E4F70" w:rsidR="00755A4F" w:rsidRPr="00671685" w:rsidRDefault="00755A4F" w:rsidP="00755A4F">
      <w:pPr>
        <w:spacing w:line="480" w:lineRule="auto"/>
        <w:ind w:firstLine="450"/>
        <w:jc w:val="both"/>
      </w:pPr>
      <w:r w:rsidRPr="00671685">
        <w:lastRenderedPageBreak/>
        <w:t xml:space="preserve">Ribosomes are large, multi-component molecular machines, composed of both ribosomal RNAs (rRNAs) and proteins (r-proteins). They act as a </w:t>
      </w:r>
      <w:r>
        <w:t>key</w:t>
      </w:r>
      <w:r w:rsidRPr="00671685">
        <w:t xml:space="preserve"> component of cellular life</w:t>
      </w:r>
      <w:r w:rsidR="00B607B2">
        <w:t xml:space="preserve">, translating RNA into protein. </w:t>
      </w:r>
      <w:r w:rsidR="0091565C">
        <w:t>Ribosomes</w:t>
      </w:r>
      <w:r w:rsidR="00B607B2">
        <w:t xml:space="preserve"> have a </w:t>
      </w:r>
      <w:r w:rsidR="002955DF">
        <w:t xml:space="preserve">large </w:t>
      </w:r>
      <w:r w:rsidRPr="00671685">
        <w:t xml:space="preserve">number of components, </w:t>
      </w:r>
      <w:r w:rsidR="00B607B2">
        <w:t xml:space="preserve">and </w:t>
      </w:r>
      <w:r w:rsidRPr="00671685">
        <w:t xml:space="preserve">are energetically costly to the cell. </w:t>
      </w:r>
      <w:r>
        <w:t>Production of ribosom</w:t>
      </w:r>
      <w:r w:rsidR="00F47936">
        <w:t>al</w:t>
      </w:r>
      <w:r>
        <w:t xml:space="preserve"> </w:t>
      </w:r>
      <w:r w:rsidRPr="00671685">
        <w:t xml:space="preserve">components </w:t>
      </w:r>
      <w:r w:rsidR="00F47936">
        <w:t>is</w:t>
      </w:r>
      <w:r w:rsidRPr="00671685">
        <w:t xml:space="preserve"> tightly controlled so that each component is within stoichiometric ratio. </w:t>
      </w:r>
      <w:r>
        <w:t>S</w:t>
      </w:r>
      <w:r w:rsidRPr="00671685">
        <w:t xml:space="preserve">tudies </w:t>
      </w:r>
      <w:r>
        <w:t xml:space="preserve">have elucidated </w:t>
      </w:r>
      <w:r w:rsidR="00F47936">
        <w:t xml:space="preserve">multiple mechanisms by which </w:t>
      </w:r>
      <w:r w:rsidRPr="00671685">
        <w:t>individual rRNA</w:t>
      </w:r>
      <w:r>
        <w:t>s</w:t>
      </w:r>
      <w:r w:rsidRPr="00671685">
        <w:t xml:space="preserve"> and r-proteins</w:t>
      </w:r>
      <w:r w:rsidR="00F47936">
        <w:t xml:space="preserve"> are regulated</w:t>
      </w:r>
      <w:r w:rsidR="00CE0627">
        <w:t xml:space="preserve"> to retain their stoichiometric balance</w:t>
      </w:r>
      <w:r w:rsidRPr="00671685">
        <w:t xml:space="preserve">. </w:t>
      </w:r>
    </w:p>
    <w:p w14:paraId="1B48D7F1" w14:textId="08B0E949" w:rsidR="00755A4F" w:rsidRPr="00671685" w:rsidRDefault="00755A4F" w:rsidP="00755A4F">
      <w:pPr>
        <w:spacing w:line="480" w:lineRule="auto"/>
        <w:ind w:firstLine="450"/>
        <w:jc w:val="both"/>
      </w:pPr>
      <w:r>
        <w:t xml:space="preserve">As rRNA is the primary component of the ribosome, its regulation has been a particular focus of study. Production of rRNA is regulated at the transcriptional level </w:t>
      </w:r>
      <w:r w:rsidR="006E6AFD">
        <w:t>and</w:t>
      </w:r>
      <w:r>
        <w:t xml:space="preserve"> depend</w:t>
      </w:r>
      <w:r w:rsidR="006E6AFD">
        <w:t xml:space="preserve">s </w:t>
      </w:r>
      <w:r>
        <w:t xml:space="preserve">on factors such as the growth state of the cell. In particular, the promoter of rRNA </w:t>
      </w:r>
      <w:r w:rsidR="006E6AFD">
        <w:t>plays a significant role</w:t>
      </w:r>
      <w:r>
        <w:t xml:space="preserve"> in the control of rRNA</w:t>
      </w:r>
      <w:r w:rsidR="006E6AFD">
        <w:t>.</w:t>
      </w:r>
      <w:r>
        <w:t xml:space="preserve"> </w:t>
      </w:r>
      <w:r w:rsidR="006E6AFD">
        <w:t>T</w:t>
      </w:r>
      <w:r>
        <w:t>hese promoters</w:t>
      </w:r>
      <w:r w:rsidR="006E6AFD">
        <w:t xml:space="preserve"> </w:t>
      </w:r>
      <w:r w:rsidR="00972E3F">
        <w:t xml:space="preserve">are quite strong and </w:t>
      </w:r>
      <w:r>
        <w:t xml:space="preserve">promoter activity is carefully regulated through multiple inputs such as </w:t>
      </w:r>
      <w:r w:rsidR="00972E3F">
        <w:t xml:space="preserve">the </w:t>
      </w:r>
      <w:r>
        <w:t xml:space="preserve">small molecule </w:t>
      </w:r>
      <w:r w:rsidRPr="00C571C6">
        <w:t>ppGpp</w:t>
      </w:r>
      <w:r w:rsidR="00972E3F">
        <w:t>,</w:t>
      </w:r>
      <w:r w:rsidRPr="00C571C6">
        <w:t xml:space="preserve"> </w:t>
      </w:r>
      <w:r w:rsidR="008B13A6">
        <w:t>abundance of the</w:t>
      </w:r>
      <w:r w:rsidRPr="00C571C6">
        <w:t xml:space="preserve"> initiating NTP</w:t>
      </w:r>
      <w:r>
        <w:t xml:space="preserve"> of transcription, and DksA, a component of the transcription machinery </w:t>
      </w:r>
      <w:r>
        <w:fldChar w:fldCharType="begin"/>
      </w:r>
      <w:r>
        <w:instrText xml:space="preserve"> ADDIN ZOTERO_ITEM CSL_CITATION {"citationID":"rF76MVCn","properties":{"formattedCitation":"(Paul et al. 2004)","plainCitation":"(Paul et al. 2004)","noteIndex":0},"citationItems":[{"id":215,"uris":["http://zotero.org/users/10474456/items/R5GZM498"],"itemData":{"id":215,"type":"article-journal","abstract":"Ribosomal RNA transcription is the rate-limiting step in ribosome synthesis in bacteria and has been investigated intensely for over half a century. Multiple mechanisms ensure that rRNA synthesis rates are appropriate for the cell's particular growth condition. Recently, important advances have been made in our understanding of rRNA transcription initiation in Escherichia coli. These include (a) a model at the atomic level of the network of protein-DNA and protein-protein interactions that recruit RNA polymerase to rRNA promoters, accounting for their extraordinary strength; (b) discovery of the nonredundant roles of two small molecule effectors, ppGpp and the initiating NTP, in regulation of rRNA transcription initiation; and (c) identification of a new component of the transcription machinery, DksA, that is absolutely required for regulation of rRNA promoter activity. Together, these advances provide clues important for our molecular understanding not only of rRNA transcription, but also of transcription in general.","container-title":"Annual Review of Genetics","DOI":"10.1146/annurev.genet.38.072902.091347","issue":"1","note":"_eprint: https://doi.org/10.1146/annurev.genet.38.072902.091347\nPMID: 15568992","page":"749-770","source":"Annual Reviews","title":"rRNA Transcription in Escherichia coli","volume":"38","author":[{"family":"Paul","given":"Brian J."},{"family":"Ross","given":"Wilma"},{"family":"Gaal","given":"Tamas"},{"family":"Gourse","given":"Richard L."}],"issued":{"date-parts":[["2004"]]}}}],"schema":"https://github.com/citation-style-language/schema/raw/master/csl-citation.json"} </w:instrText>
      </w:r>
      <w:r>
        <w:fldChar w:fldCharType="separate"/>
      </w:r>
      <w:r w:rsidRPr="00BD703A">
        <w:rPr>
          <w:rFonts w:cs="Arial"/>
        </w:rPr>
        <w:t>(Paul et al. 2004)</w:t>
      </w:r>
      <w:r>
        <w:fldChar w:fldCharType="end"/>
      </w:r>
      <w:r>
        <w:t xml:space="preserve">. </w:t>
      </w:r>
    </w:p>
    <w:p w14:paraId="5491031A" w14:textId="6111FC60" w:rsidR="00755A4F" w:rsidRDefault="00755A4F" w:rsidP="00755A4F">
      <w:pPr>
        <w:spacing w:line="480" w:lineRule="auto"/>
        <w:ind w:firstLine="450"/>
        <w:jc w:val="both"/>
      </w:pPr>
      <w:r>
        <w:t>Bacteria may encode more than 50 r</w:t>
      </w:r>
      <w:r w:rsidR="00CE0F5E">
        <w:t>-</w:t>
      </w:r>
      <w:r>
        <w:t xml:space="preserve">proteins, 34 of which are universally conserved </w:t>
      </w:r>
      <w:r>
        <w:fldChar w:fldCharType="begin"/>
      </w:r>
      <w:r>
        <w:instrText xml:space="preserve"> ADDIN ZOTERO_ITEM CSL_CITATION {"citationID":"QTpvu2fX","properties":{"formattedCitation":"(Yutin et al. 2012)","plainCitation":"(Yutin et al. 2012)","noteIndex":0},"citationItems":[{"id":314,"uris":["http://zotero.org/users/10474456/items/3KIGCH5I"],"itemData":{"id":314,"type":"article-journal","abstract":"Archaeal and bacterial ribosomes contain more than 50 proteins, including 34 that are universally conserved in the three domains of cellular life (bacteria, archaea, and eukaryotes). Despite the high sequence conservation, annotation of ribosomal (r-) protein genes is often difficult because of their short lengths and biased sequence composition. We developed an automated computational pipeline for identification of r-protein genes and applied it to 995 completely sequenced bacterial and 87 archaeal genomes available in the RefSeq database. The pipeline employs curated seed alignments of r-proteins to run position-specific scoring matrix (PSSM)-based BLAST searches against six-frame genome translations, mitigating possible gene annotation errors. As a result of this analysis, we performed a census of prokaryotic r-protein complements, enumerated missing and paralogous r-proteins, and analyzed the distributions of ribosomal protein genes among chromosomal partitions. Phyletic patterns of bacterial and archaeal r-protein genes were mapped to phylogenetic trees reconstructed from concatenated alignments of r-proteins to reveal the history of likely multiple independent gains and losses. These alignments, available for download, can be used as search profiles to improve genome annotation of r-proteins and for further comparative genomics studies.","container-title":"PLoS ONE","DOI":"10.1371/journal.pone.0036972","ISSN":"1932-6203","issue":"5","journalAbbreviation":"PLoS One","note":"PMID: 22615861\nPMCID: PMC3353972","page":"e36972","source":"PubMed Central","title":"Phylogenomics of Prokaryotic Ribosomal Proteins","volume":"7","author":[{"family":"Yutin","given":"Natalya"},{"family":"Puigbò","given":"Pere"},{"family":"Koonin","given":"Eugene V."},{"family":"Wolf","given":"Yuri I."}],"issued":{"date-parts":[["2012",5,16]]}}}],"schema":"https://github.com/citation-style-language/schema/raw/master/csl-citation.json"} </w:instrText>
      </w:r>
      <w:r>
        <w:fldChar w:fldCharType="separate"/>
      </w:r>
      <w:r w:rsidRPr="005721F0">
        <w:rPr>
          <w:rFonts w:cs="Arial"/>
        </w:rPr>
        <w:t>(Yutin et al. 2012)</w:t>
      </w:r>
      <w:r>
        <w:fldChar w:fldCharType="end"/>
      </w:r>
      <w:r>
        <w:t xml:space="preserve">. </w:t>
      </w:r>
      <w:r w:rsidR="00F87852">
        <w:t xml:space="preserve">Regulation of </w:t>
      </w:r>
      <w:r>
        <w:t>r</w:t>
      </w:r>
      <w:r w:rsidRPr="00671685">
        <w:t>-protein</w:t>
      </w:r>
      <w:r w:rsidR="00F87852">
        <w:t xml:space="preserve"> production</w:t>
      </w:r>
      <w:r w:rsidRPr="00671685">
        <w:t xml:space="preserve"> </w:t>
      </w:r>
      <w:r w:rsidR="00F87852">
        <w:t>can be</w:t>
      </w:r>
      <w:r>
        <w:t xml:space="preserve"> complex </w:t>
      </w:r>
      <w:r w:rsidR="00F87852">
        <w:t>and can</w:t>
      </w:r>
      <w:r>
        <w:t xml:space="preserve"> occur at multiple levels</w:t>
      </w:r>
      <w:r w:rsidRPr="00671685">
        <w:t xml:space="preserve">. </w:t>
      </w:r>
      <w:r w:rsidR="00F87852">
        <w:t>Regulation of</w:t>
      </w:r>
      <w:r>
        <w:t xml:space="preserve"> r-proteins can </w:t>
      </w:r>
      <w:r w:rsidR="00F87852">
        <w:t xml:space="preserve">start </w:t>
      </w:r>
      <w:r>
        <w:t>at the level of DNA organization</w:t>
      </w:r>
      <w:r w:rsidRPr="00671685">
        <w:t xml:space="preserve">, </w:t>
      </w:r>
      <w:r w:rsidR="00F87852">
        <w:t xml:space="preserve">as </w:t>
      </w:r>
      <w:r w:rsidRPr="00671685">
        <w:t>operons</w:t>
      </w:r>
      <w:r w:rsidR="00F87852">
        <w:t xml:space="preserve"> encoding r-proteins</w:t>
      </w:r>
      <w:r w:rsidRPr="00671685">
        <w:t xml:space="preserve"> </w:t>
      </w:r>
      <w:r w:rsidR="00F87852">
        <w:t>are often</w:t>
      </w:r>
      <w:r w:rsidRPr="00671685">
        <w:t xml:space="preserve"> organized </w:t>
      </w:r>
      <w:r w:rsidR="00F87852">
        <w:t xml:space="preserve">to </w:t>
      </w:r>
      <w:r w:rsidRPr="00671685">
        <w:t xml:space="preserve">allow for </w:t>
      </w:r>
      <w:r w:rsidR="008B13A6">
        <w:t>co-</w:t>
      </w:r>
      <w:r w:rsidR="00393E7B" w:rsidRPr="00671685">
        <w:t>regulation of</w:t>
      </w:r>
      <w:r w:rsidRPr="00671685">
        <w:t xml:space="preserve"> </w:t>
      </w:r>
      <w:r w:rsidR="005E1FB3">
        <w:t xml:space="preserve">multiple r-protein-coding </w:t>
      </w:r>
      <w:r w:rsidRPr="00671685">
        <w:t>genes.</w:t>
      </w:r>
    </w:p>
    <w:p w14:paraId="06EF9B5F" w14:textId="0A0BCA24" w:rsidR="005E1FB3" w:rsidRDefault="005E1FB3" w:rsidP="00755A4F">
      <w:pPr>
        <w:spacing w:line="480" w:lineRule="auto"/>
        <w:ind w:firstLine="450"/>
        <w:jc w:val="both"/>
      </w:pPr>
      <w:r>
        <w:t>Additionally, r</w:t>
      </w:r>
      <w:r w:rsidR="00755A4F" w:rsidRPr="00671685">
        <w:t xml:space="preserve">-proteins may act as regulators of their own transcript. </w:t>
      </w:r>
      <w:r w:rsidR="00ED3342">
        <w:t xml:space="preserve">Specifically, </w:t>
      </w:r>
      <w:r>
        <w:t xml:space="preserve">some r-proteins </w:t>
      </w:r>
      <w:r w:rsidR="00ED3342">
        <w:t xml:space="preserve">can bind their own transcript in addition to their </w:t>
      </w:r>
      <w:r w:rsidR="00ED3342">
        <w:lastRenderedPageBreak/>
        <w:t xml:space="preserve">ability to bind ribosomal RNA, particularly if </w:t>
      </w:r>
      <w:r>
        <w:t xml:space="preserve">that r-protein is in </w:t>
      </w:r>
      <w:r w:rsidR="00ED3342">
        <w:t xml:space="preserve">excess </w:t>
      </w:r>
      <w:r>
        <w:t>compared to the amount of r-protein needed for</w:t>
      </w:r>
      <w:r w:rsidR="00ED3342">
        <w:t xml:space="preserve"> ribosome</w:t>
      </w:r>
      <w:r>
        <w:t xml:space="preserve"> assembly</w:t>
      </w:r>
      <w:r w:rsidR="00ED3342">
        <w:t xml:space="preserve">. </w:t>
      </w:r>
      <w:r w:rsidR="00755A4F" w:rsidRPr="00671685">
        <w:t xml:space="preserve">Attenuation and destabilization of mRNA transcripts are major pathways in which an r-protein may </w:t>
      </w:r>
      <w:r w:rsidR="004E1067">
        <w:t>control translation of</w:t>
      </w:r>
      <w:r w:rsidR="00755A4F" w:rsidRPr="00671685">
        <w:t xml:space="preserve"> its own transcript. </w:t>
      </w:r>
      <w:r w:rsidR="00755A4F">
        <w:t xml:space="preserve">Attenuation describes the early termination of </w:t>
      </w:r>
      <w:r w:rsidR="0000788C">
        <w:t xml:space="preserve">an r-protein transcript via the r-protein, directly or indirectly. It </w:t>
      </w:r>
      <w:r w:rsidR="00755A4F">
        <w:t xml:space="preserve">can either be Rho-dependent or </w:t>
      </w:r>
      <w:r w:rsidR="00E57485">
        <w:t>Rho</w:t>
      </w:r>
      <w:r w:rsidR="00755A4F">
        <w:t xml:space="preserve">-independent. </w:t>
      </w:r>
      <w:r w:rsidR="00E57485">
        <w:t xml:space="preserve">Regardless of the necessity of Rho, this type of regulation relies on the formation of specific secondary structures of the mRNA transcript that lead to termination </w:t>
      </w:r>
      <w:r w:rsidR="00E57485">
        <w:fldChar w:fldCharType="begin"/>
      </w:r>
      <w:r w:rsidR="00E57485">
        <w:instrText xml:space="preserve"> ADDIN ZOTERO_ITEM CSL_CITATION {"citationID":"1cI6m4C3","properties":{"formattedCitation":"(Turnbough 2019)","plainCitation":"(Turnbough 2019)","noteIndex":0},"citationItems":[{"id":441,"uris":["http://zotero.org/users/10474456/items/E6FHG6FL"],"itemData":{"id":441,"type":"article-journal","abstract":"SUMMARY\nA wide variety of mechanisms that control gene expression in bacteria are based on conditional transcription termination. Generally, in these mechanisms, a transcription terminator is located between a promoter and a downstream gene(s), and the efficiency of the terminator is controlled by a regulatory effector that can be a metabolite, protein, or RNA. The most common type of regulation involving conditional termination is transcription attenuation, in which the primary regulatory target is an essential element of a single terminator. The terminator can be either intrinsic or Rho dependent, with each presenting unique regulatory targets. Transcription attenuation mechanisms can be divided into five classes based primarily on the manner in which transcription termination is rendered conditional. This review summarizes each class of control mechanisms from a historical perspective, describes important examples in a physiological context and the current state of knowledge, highlights major advances, and discusses expectations of future discoveries.","container-title":"Microbiology and Molecular Biology Reviews","DOI":"10.1128/mmbr.00019-19","issue":"3","note":"publisher: American Society for Microbiology","page":"10.1128/mmbr.00019-19","source":"journals.asm.org (Atypon)","title":"Regulation of Bacterial Gene Expression by Transcription Attenuation","volume":"83","author":[{"family":"Turnbough","given":"Charles L."}],"issued":{"date-parts":[["2019",7,3]]}}}],"schema":"https://github.com/citation-style-language/schema/raw/master/csl-citation.json"} </w:instrText>
      </w:r>
      <w:r w:rsidR="00E57485">
        <w:fldChar w:fldCharType="separate"/>
      </w:r>
      <w:r w:rsidR="00E57485" w:rsidRPr="008A063A">
        <w:rPr>
          <w:rFonts w:cs="Arial"/>
        </w:rPr>
        <w:t>(Turnbough 2019)</w:t>
      </w:r>
      <w:r w:rsidR="00E57485">
        <w:fldChar w:fldCharType="end"/>
      </w:r>
      <w:r w:rsidR="00E57485">
        <w:t xml:space="preserve">. </w:t>
      </w:r>
      <w:r w:rsidR="00755A4F">
        <w:t xml:space="preserve">Alternatively, </w:t>
      </w:r>
      <w:r w:rsidR="00B607B2">
        <w:t xml:space="preserve">r-proteins may recruit nucleases to their own transcripts, leading to the </w:t>
      </w:r>
      <w:r w:rsidR="00755A4F">
        <w:t xml:space="preserve">destabilization of </w:t>
      </w:r>
      <w:r w:rsidR="00B607B2">
        <w:t xml:space="preserve">their </w:t>
      </w:r>
      <w:r w:rsidR="00755A4F">
        <w:t xml:space="preserve">mRNA post-transcriptionally. As with attenuation, the secondary structures of the mRNA transcript are often important for degradation </w:t>
      </w:r>
      <w:r w:rsidR="00755A4F">
        <w:fldChar w:fldCharType="begin"/>
      </w:r>
      <w:r w:rsidR="00755A4F">
        <w:instrText xml:space="preserve"> ADDIN ZOTERO_ITEM CSL_CITATION {"citationID":"96zp5zNp","properties":{"formattedCitation":"(Rauhut and Klug 1999)","plainCitation":"(Rauhut and Klug 1999)","noteIndex":0},"citationItems":[{"id":443,"uris":["http://zotero.org/users/10474456/items/4FPEQX88"],"itemData":{"id":443,"type":"article-journal","abstract":"Messenger RNAs in prokaryotes exhibit short half-lives when compared with eukaryotic mRNAs. Considerable progress has been made during recent years in our understanding of mRNA degradation in bacteria. Two major aspects determine the life span of a messenger in the bacterial cell. On the side of the substrate, the structural features of mRNA have a profound influence on the stability of the molecule. On the other hand, there is the degradative machinery. Progress in the biochemical characterization of proteins involved in mRNA degradation has made clear that RNA degradation is a highly organized cellular process in which several protein components, and not only nucleases, are involved. In Escherichia coli, these proteins are organized in a high molecular mass complex, the degradosome. The key enzyme for initial events in mRNA degradation and for the assembly of the degradosome is endoribonuclease E. We discuss the identified components of the degradosome and its mode of action. Since research in mRNA degradation suffers from dominance of E. coli-related observations we also look to other organisms to ask whether they could possibly follow the E. coli standard model.","container-title":"FEMS Microbiology Reviews","DOI":"10.1111/j.1574-6976.1999.tb00404.x","ISSN":"0168-6445","issue":"3","journalAbbreviation":"FEMS Microbiology Reviews","page":"353-370","source":"Silverchair","title":"mRNA degradation in bacteria","volume":"23","author":[{"family":"Rauhut","given":"Reinhard"},{"family":"Klug","given":"Gabriele"}],"issued":{"date-parts":[["1999",6,1]]}}}],"schema":"https://github.com/citation-style-language/schema/raw/master/csl-citation.json"} </w:instrText>
      </w:r>
      <w:r w:rsidR="00755A4F">
        <w:fldChar w:fldCharType="separate"/>
      </w:r>
      <w:r w:rsidR="00755A4F" w:rsidRPr="008A063A">
        <w:rPr>
          <w:rFonts w:cs="Arial"/>
        </w:rPr>
        <w:t>(Rauhut and Klug 1999)</w:t>
      </w:r>
      <w:r w:rsidR="00755A4F">
        <w:fldChar w:fldCharType="end"/>
      </w:r>
      <w:r w:rsidR="00755A4F">
        <w:t xml:space="preserve">. </w:t>
      </w:r>
    </w:p>
    <w:p w14:paraId="5A30F262" w14:textId="59EE6DC2" w:rsidR="00755A4F" w:rsidRDefault="005E1FB3" w:rsidP="00755A4F">
      <w:pPr>
        <w:spacing w:line="480" w:lineRule="auto"/>
        <w:ind w:firstLine="450"/>
        <w:jc w:val="both"/>
      </w:pPr>
      <w:r>
        <w:t>Finally</w:t>
      </w:r>
      <w:r w:rsidR="00755A4F" w:rsidRPr="00671685">
        <w:t xml:space="preserve">, r-proteins may regulate </w:t>
      </w:r>
      <w:r w:rsidR="00755A4F">
        <w:t xml:space="preserve">their own production </w:t>
      </w:r>
      <w:r w:rsidR="00755A4F" w:rsidRPr="00671685">
        <w:t>at the level of translation</w:t>
      </w:r>
      <w:r>
        <w:t>, by inhibiting translation initiation for its own transcript</w:t>
      </w:r>
      <w:r w:rsidR="003E5D67">
        <w:t xml:space="preserve">. There are several mechanisms by which this could occur. One possibility is that direct contact by the r-protein with the Shine-Dalgarno of its transcript physically </w:t>
      </w:r>
      <w:r>
        <w:t xml:space="preserve">prevents </w:t>
      </w:r>
      <w:r w:rsidR="003E5D67">
        <w:t>the transcript from becoming associated with ribosomes</w:t>
      </w:r>
      <w:r>
        <w:t>.</w:t>
      </w:r>
      <w:r w:rsidR="003E5D67">
        <w:t xml:space="preserve"> </w:t>
      </w:r>
      <w:r>
        <w:t>Alternatively</w:t>
      </w:r>
      <w:r w:rsidR="003E5D67">
        <w:t xml:space="preserve">, </w:t>
      </w:r>
      <w:r>
        <w:t xml:space="preserve">direct binding of </w:t>
      </w:r>
      <w:r w:rsidR="003E5D67">
        <w:t>the r-protein could cause conformational changes in the mRNA to prevent translation, or the r-protein may interrupt a step in the translation initiation pathway</w:t>
      </w:r>
      <w:r w:rsidR="00755A4F" w:rsidRPr="00671685">
        <w:t xml:space="preserve"> </w:t>
      </w:r>
      <w:r w:rsidR="00755A4F" w:rsidRPr="00671685">
        <w:fldChar w:fldCharType="begin"/>
      </w:r>
      <w:r w:rsidR="00755A4F" w:rsidRPr="00671685">
        <w:instrText xml:space="preserve"> ADDIN ZOTERO_ITEM CSL_CITATION {"citationID":"ZQkbbeHl","properties":{"formattedCitation":"(Zengel and Lindahl 1994)","plainCitation":"(Zengel and Lindahl 1994)","noteIndex":0},"citationItems":[{"id":102,"uris":["http://zotero.org/users/10474456/items/QF5YB3AJ"],"itemData":{"id":102,"type":"chapter","container-title":"Progress in Nucleic Acid Research and Molecular Biology","ISBN":"978-0-12-540047-3","language":"en","note":"DOI: 10.1016/S0079-6603(08)60256-1","page":"331-370","publisher":"Elsevier","source":"DOI.org (Crossref)","title":"Diverse Mechanisms for Regulating Ribosomal Protein Synthesis in Escherichia coli","URL":"https://linkinghub.elsevier.com/retrieve/pii/S0079660308602561","volume":"47","author":[{"family":"Zengel","given":"Janice M."},{"family":"Lindahl","given":"Lasse"}],"accessed":{"date-parts":[["2022",10,27]]},"issued":{"date-parts":[["1994"]]}}}],"schema":"https://github.com/citation-style-language/schema/raw/master/csl-citation.json"} </w:instrText>
      </w:r>
      <w:r w:rsidR="00755A4F" w:rsidRPr="00671685">
        <w:fldChar w:fldCharType="separate"/>
      </w:r>
      <w:r w:rsidR="00755A4F" w:rsidRPr="00671685">
        <w:rPr>
          <w:rFonts w:cs="Arial"/>
        </w:rPr>
        <w:t>(Zengel and Lindahl 1994)</w:t>
      </w:r>
      <w:r w:rsidR="00755A4F" w:rsidRPr="00671685">
        <w:fldChar w:fldCharType="end"/>
      </w:r>
      <w:r w:rsidR="00755A4F" w:rsidRPr="00671685">
        <w:t xml:space="preserve">. </w:t>
      </w:r>
    </w:p>
    <w:p w14:paraId="22CF6FB2" w14:textId="789D5601" w:rsidR="00755A4F" w:rsidRPr="00BD703A" w:rsidRDefault="00755A4F" w:rsidP="00755A4F">
      <w:pPr>
        <w:spacing w:line="480" w:lineRule="auto"/>
        <w:ind w:firstLine="450"/>
        <w:jc w:val="both"/>
        <w:rPr>
          <w:u w:val="single"/>
        </w:rPr>
      </w:pPr>
      <w:r>
        <w:t xml:space="preserve">Production of one r-protein can be controlled by multiple mechanisms. The next section will illustrate this by describing </w:t>
      </w:r>
      <w:r w:rsidR="00522B16">
        <w:t xml:space="preserve">regulation </w:t>
      </w:r>
      <w:r>
        <w:t xml:space="preserve">of ribosomal protein uL10 </w:t>
      </w:r>
      <w:r w:rsidR="00522B16">
        <w:t>(</w:t>
      </w:r>
      <w:r>
        <w:t>previously referred to as L10</w:t>
      </w:r>
      <w:r w:rsidR="00522B16">
        <w:t>;</w:t>
      </w:r>
      <w:r>
        <w:t xml:space="preserve"> </w:t>
      </w:r>
      <w:r>
        <w:fldChar w:fldCharType="begin"/>
      </w:r>
      <w:r w:rsidR="000F2B9C">
        <w:instrText xml:space="preserve"> ADDIN ZOTERO_ITEM CSL_CITATION {"citationID":"4EyLtTwg","properties":{"formattedCitation":"(Ban et al. 2014)","plainCitation":"(Ban et al. 2014)","dontUpdate":true,"noteIndex":0},"citationItems":[{"id":446,"uris":["http://zotero.org/users/10474456/items/VBUCT8V5"],"itemData":{"id":446,"type":"article-journal","abstract":"A system for naming ribosomal proteins is described that the authors intend to use in the future. They urge others to adopt it. The objective is to eliminate the confusion caused by the assignment of identical names to ribosomal proteins from different species that are unrelated in structure and function. In the system proposed here, homologous ribosomal proteins are assigned the same name, regardless of species. It is designed so that new names are similar enough to old names to be easily recognized, but are written in a format that unambiguously identifies them as 'new system' names.","container-title":"Current Opinion in Structural Biology","DOI":"10.1016/j.sbi.2014.01.002","ISSN":"1879-033X","journalAbbreviation":"Curr Opin Struct Biol","language":"eng","note":"PMID: 24524803\nPMCID: PMC4358319","page":"165-169","source":"PubMed","title":"A new system for naming ribosomal proteins","volume":"24","author":[{"family":"Ban","given":"Nenad"},{"family":"Beckmann","given":"Roland"},{"family":"Cate","given":"Jamie H. D."},{"family":"Dinman","given":"Jonathan D."},{"family":"Dragon","given":"François"},{"family":"Ellis","given":"Steven R."},{"family":"Lafontaine","given":"Denis L. J."},{"family":"Lindahl","given":"Lasse"},{"family":"Liljas","given":"Anders"},{"family":"Lipton","given":"Jeffrey M."},{"family":"McAlear","given":"Michael A."},{"family":"Moore","given":"Peter B."},{"family":"Noller","given":"Harry F."},{"family":"Ortega","given":"Joaquin"},{"family":"Panse","given":"Vikram Govind"},{"family":"Ramakrishnan","given":"V."},{"family":"Spahn","given":"Christian M. T."},{"family":"Steitz","given":"Thomas A."},{"family":"Tchorzewski","given":"Marek"},{"family":"Tollervey","given":"David"},{"family":"Warren","given":"Alan J."},{"family":"Williamson","given":"James R."},{"family":"Wilson","given":"Daniel"},{"family":"Yonath","given":"Ada"},{"family":"Yusupov","given":"Marat"}],"issued":{"date-parts":[["2014",2]]}}}],"schema":"https://github.com/citation-style-language/schema/raw/master/csl-citation.json"} </w:instrText>
      </w:r>
      <w:r>
        <w:fldChar w:fldCharType="separate"/>
      </w:r>
      <w:r w:rsidRPr="004748C2">
        <w:rPr>
          <w:rFonts w:cs="Arial"/>
        </w:rPr>
        <w:t>Ban et al. 2014)</w:t>
      </w:r>
      <w:r>
        <w:fldChar w:fldCharType="end"/>
      </w:r>
      <w:r>
        <w:t xml:space="preserve">. </w:t>
      </w:r>
    </w:p>
    <w:p w14:paraId="0AFCCE31" w14:textId="77777777" w:rsidR="00755A4F" w:rsidRPr="00671685" w:rsidRDefault="00755A4F" w:rsidP="00755A4F">
      <w:pPr>
        <w:spacing w:line="480" w:lineRule="auto"/>
        <w:jc w:val="both"/>
        <w:rPr>
          <w:i/>
          <w:iCs/>
        </w:rPr>
      </w:pPr>
      <w:r>
        <w:rPr>
          <w:i/>
          <w:iCs/>
        </w:rPr>
        <w:lastRenderedPageBreak/>
        <w:t>u</w:t>
      </w:r>
      <w:r w:rsidRPr="00671685">
        <w:rPr>
          <w:i/>
          <w:iCs/>
        </w:rPr>
        <w:t>L10 Regulation</w:t>
      </w:r>
    </w:p>
    <w:p w14:paraId="1F7EEF11" w14:textId="6EA5D032" w:rsidR="00755A4F" w:rsidRPr="001E7943" w:rsidRDefault="00755A4F" w:rsidP="00755A4F">
      <w:pPr>
        <w:spacing w:line="480" w:lineRule="auto"/>
        <w:ind w:firstLine="450"/>
        <w:jc w:val="both"/>
      </w:pPr>
      <w:r>
        <w:t xml:space="preserve">uL10, the bacterial ribosomal protein encoded by </w:t>
      </w:r>
      <w:r>
        <w:rPr>
          <w:i/>
          <w:iCs/>
        </w:rPr>
        <w:t>rplJ</w:t>
      </w:r>
      <w:r>
        <w:t xml:space="preserve">, is a large subunit ribosomal protein. In the ribosome structure, uL10 forms the stalk complex with bL12, performing the essential function of facilitating interactions between </w:t>
      </w:r>
      <w:r w:rsidRPr="001F6595">
        <w:t>GTP-bound translation factors</w:t>
      </w:r>
      <w:r>
        <w:t xml:space="preserve"> and the ribosome </w:t>
      </w:r>
      <w:r>
        <w:fldChar w:fldCharType="begin"/>
      </w:r>
      <w:r>
        <w:instrText xml:space="preserve"> ADDIN ZOTERO_ITEM CSL_CITATION {"citationID":"5OpFBBUA","properties":{"formattedCitation":"(Diaconu et al. 2005)","plainCitation":"(Diaconu et al. 2005)","noteIndex":0},"citationItems":[{"id":323,"uris":["http://zotero.org/users/10474456/items/GBLTJWHI"],"itemData":{"id":323,"type":"article-journal","container-title":"Cell","DOI":"10.1016/j.cell.2005.04.015","ISSN":"0092-8674, 1097-4172","issue":"7","journalAbbreviation":"Cell","language":"English","note":"publisher: Elsevier\nPMID: 15989950","page":"991-1004","source":"www.cell.com","title":"Structural Basis for the Function of the Ribosomal L7/12 Stalk in Factor Binding and GTPase Activation","volume":"121","author":[{"family":"Diaconu","given":"Mihaela"},{"family":"Kothe","given":"Ute"},{"family":"Schlünzen","given":"Frank"},{"family":"Fischer","given":"Niels"},{"family":"Harms","given":"Jörg M."},{"family":"Tonevitsky","given":"Alexander G."},{"family":"Stark","given":"Holger"},{"family":"Rodnina","given":"Marina V."},{"family":"Wahl","given":"Markus C."}],"issued":{"date-parts":[["2005",7,1]]}}}],"schema":"https://github.com/citation-style-language/schema/raw/master/csl-citation.json"} </w:instrText>
      </w:r>
      <w:r>
        <w:fldChar w:fldCharType="separate"/>
      </w:r>
      <w:r w:rsidRPr="001F6595">
        <w:rPr>
          <w:rFonts w:cs="Arial"/>
        </w:rPr>
        <w:t>(Diaconu et al. 2005)</w:t>
      </w:r>
      <w:r>
        <w:fldChar w:fldCharType="end"/>
      </w:r>
      <w:r>
        <w:t xml:space="preserve"> The </w:t>
      </w:r>
      <w:r>
        <w:rPr>
          <w:i/>
          <w:iCs/>
        </w:rPr>
        <w:t xml:space="preserve">rplJ </w:t>
      </w:r>
      <w:r>
        <w:t xml:space="preserve">gene is found in an operon upstream of </w:t>
      </w:r>
      <w:r>
        <w:rPr>
          <w:i/>
          <w:iCs/>
        </w:rPr>
        <w:t xml:space="preserve">rplL </w:t>
      </w:r>
      <w:r>
        <w:t>(bL12</w:t>
      </w:r>
      <w:r w:rsidR="00644B70">
        <w:t xml:space="preserve"> or, when acetylated, bL7</w:t>
      </w:r>
      <w:r>
        <w:t>)</w:t>
      </w:r>
      <w:r>
        <w:rPr>
          <w:i/>
          <w:iCs/>
        </w:rPr>
        <w:t xml:space="preserve">, </w:t>
      </w:r>
      <w:r>
        <w:t xml:space="preserve">denoted </w:t>
      </w:r>
      <w:r w:rsidRPr="001F6595">
        <w:rPr>
          <w:i/>
          <w:iCs/>
        </w:rPr>
        <w:t>rplJL</w:t>
      </w:r>
      <w:r>
        <w:rPr>
          <w:i/>
          <w:iCs/>
        </w:rPr>
        <w:t xml:space="preserve"> </w:t>
      </w:r>
      <w:r>
        <w:rPr>
          <w:i/>
          <w:iCs/>
        </w:rPr>
        <w:fldChar w:fldCharType="begin"/>
      </w:r>
      <w:r>
        <w:rPr>
          <w:i/>
          <w:iCs/>
        </w:rPr>
        <w:instrText xml:space="preserve"> ADDIN ZOTERO_ITEM CSL_CITATION {"citationID":"tJNcvSmt","properties":{"formattedCitation":"(O\\uc0\\u8217{}Connell and Thomashow 2000)","plainCitation":"(O’Connell and Thomashow 2000)","noteIndex":0},"citationItems":[{"id":179,"uris":["http://zotero.org/users/10474456/items/WKT2UXMK"],"itemData":{"id":179,"type":"webpage","abstract":"A homolog of the major eubacterial cold shock gene cspAwas identified in Sinorhizobium meliloti RM1021 byluxAB reporter transposon mutagenesis. Here we further characterize the organization and regulation of this locus. DNA sequence analysis indicated that the locus includes three open reading frames (ORFs) encoding homologs corresponding to CspA, a novel 10.6-kDa polypeptide designated ORF2, and a homolog of the Escherichia coli ribosomal protein S21. Transcription analysis indicated that this locus produced two different-sized cspA-hybridizing transcripts upon cold shock, a 400-nucleotide (nt) RNA encodingcspA alone and a 1,000-nt transcript encodingcspA-ORF2-rpsU. The sizes of the transcripts agreed with the location of the transcription start site determined by primer extension and the locations of two putative transcriptional terminators. The promoter of the cspA-ORF2-rpsU locus had −10 and −35 elements similar to the E. coliς70 consensus promoter and, like the cspAlocus of E. coli, included an AT-rich region upstream of the −35 hexamer. The promoter of the S. meliloti cspAlocus was found to impart cold shock-induced mRNA accumulation. In addition, the 5′-untranslated region (5′ UTR) was found to increase the fold induction of cspA transcripts after cold shock and depressed the level of luxAB mRNA prior to cold shock, another feature similar to cspA regulation in E. coli. No “cold box” was identified upstream of the S. meliloti cspA gene, however, and there was no other obvious sequence identity between the S. meliloti 5′ UTR and that of E. coli. DNA hybridization analysis indicated that outside the cspA-ORF2-rpsU cold shock locus there are several additional cspA-like genes and a secondrpsU homolog.","language":"en","note":"DOI: 10.1128/AEM.66.1.392-400.2000","title":"Transcriptional Organization and Regulation of a Polycistronic Cold Shock Operon in Sinorhizobium meliloti RM1021 Encoding Homologs of the Escherichia coli Major Cold Shock Gene cspA and Ribosomal Protein GenerpsU","URL":"https://journals.asm.org/doi/epdf/10.1128/AEM.66.1.392-400.2000","author":[{"family":"O'Connell","given":"Kevin"},{"family":"Thomashow","given":"Michael"}],"accessed":{"date-parts":[["2023",5,8]]},"issued":{"date-parts":[["2000",1,1]]}}}],"schema":"https://github.com/citation-style-language/schema/raw/master/csl-citation.json"} </w:instrText>
      </w:r>
      <w:r>
        <w:rPr>
          <w:i/>
          <w:iCs/>
        </w:rPr>
        <w:fldChar w:fldCharType="separate"/>
      </w:r>
      <w:r w:rsidRPr="001F6595">
        <w:rPr>
          <w:rFonts w:cs="Arial"/>
          <w:szCs w:val="24"/>
        </w:rPr>
        <w:t>(O’Connell and Thomashow 2000)</w:t>
      </w:r>
      <w:r>
        <w:rPr>
          <w:i/>
          <w:iCs/>
        </w:rPr>
        <w:fldChar w:fldCharType="end"/>
      </w:r>
      <w:r>
        <w:t>.</w:t>
      </w:r>
      <w:r>
        <w:rPr>
          <w:i/>
          <w:iCs/>
        </w:rPr>
        <w:t xml:space="preserve"> </w:t>
      </w:r>
      <w:r>
        <w:t xml:space="preserve">These r-proteins are followed by </w:t>
      </w:r>
      <w:r>
        <w:rPr>
          <w:i/>
          <w:iCs/>
        </w:rPr>
        <w:t xml:space="preserve">rpoB </w:t>
      </w:r>
      <w:r>
        <w:t xml:space="preserve">and </w:t>
      </w:r>
      <w:r>
        <w:rPr>
          <w:i/>
          <w:iCs/>
        </w:rPr>
        <w:t xml:space="preserve">rpoC </w:t>
      </w:r>
      <w:r>
        <w:t xml:space="preserve">encoding the </w:t>
      </w:r>
      <w:r w:rsidRPr="00FA6F67">
        <w:rPr>
          <w:rFonts w:cs="Arial"/>
          <w:i/>
          <w:iCs/>
        </w:rPr>
        <w:t>β</w:t>
      </w:r>
      <w:r>
        <w:t xml:space="preserve"> and </w:t>
      </w:r>
      <w:r w:rsidRPr="00FA6F67">
        <w:rPr>
          <w:rFonts w:cs="Arial"/>
          <w:i/>
          <w:iCs/>
        </w:rPr>
        <w:t>β</w:t>
      </w:r>
      <w:r w:rsidRPr="00FA6F67">
        <w:rPr>
          <w:i/>
          <w:iCs/>
        </w:rPr>
        <w:t>′</w:t>
      </w:r>
      <w:r>
        <w:t xml:space="preserve"> subunits of RNA polymerase </w:t>
      </w:r>
      <w:r>
        <w:fldChar w:fldCharType="begin"/>
      </w:r>
      <w:r>
        <w:instrText xml:space="preserve"> ADDIN ZOTERO_ITEM CSL_CITATION {"citationID":"LpYlbKBA","properties":{"formattedCitation":"(Fukuda 1980)","plainCitation":"(Fukuda 1980)","noteIndex":0},"citationItems":[{"id":170,"uris":["http://zotero.org/users/10474456/items/BU9S22ZR"],"itemData":{"id":170,"type":"article-journal","abstract":"The in vitro synthesis of Escherichia coli ribosomal proteins, L10 and L7/12, is specifically repressed by the addition of the L10-L7/12 complex, while that of other ribosomal proteins encoded by the neighboring operons is not affected. Thus the expression of the rpoBC operon is controlled by two autorepression systems, one for the two ribosomal proteins and the other for RNA polymerase /3 and /3' subunits, both operating probably at the translational level.","language":"en","source":"Zotero","title":"Autogenous Regulation of the Synthesis of Ribosomal Proteins, L10 and L7/12, in Escherichia coil","author":[{"family":"Fukuda","given":"Ryuji"}],"issued":{"date-parts":[["1980"]]}}}],"schema":"https://github.com/citation-style-language/schema/raw/master/csl-citation.json"} </w:instrText>
      </w:r>
      <w:r>
        <w:fldChar w:fldCharType="separate"/>
      </w:r>
      <w:r w:rsidRPr="00FA6F67">
        <w:rPr>
          <w:rFonts w:cs="Arial"/>
        </w:rPr>
        <w:t>(Fukuda 1980)</w:t>
      </w:r>
      <w:r>
        <w:fldChar w:fldCharType="end"/>
      </w:r>
      <w:r>
        <w:rPr>
          <w:i/>
          <w:iCs/>
        </w:rPr>
        <w:t xml:space="preserve">. </w:t>
      </w:r>
      <w:r>
        <w:t>uL10, along with bL12, bind</w:t>
      </w:r>
      <w:r w:rsidR="00522B16">
        <w:t>s</w:t>
      </w:r>
      <w:r>
        <w:t xml:space="preserve"> to the 23s rRNA early in ribosomal assembly </w:t>
      </w:r>
      <w:r>
        <w:fldChar w:fldCharType="begin"/>
      </w:r>
      <w:r>
        <w:instrText xml:space="preserve"> ADDIN ZOTERO_ITEM CSL_CITATION {"citationID":"9GUBlost","properties":{"formattedCitation":"(de Narvaez and Schaup 1979)","plainCitation":"(de Narvaez and Schaup 1979)","noteIndex":0},"citationItems":[{"id":317,"uris":["http://zotero.org/users/10474456/items/FYEWQWJS"],"itemData":{"id":317,"type":"article-journal","abstract":"Evidence is presented that ribosome assembly in bacteria may occur concurrently with transcription of ribosomal RNA. Bacterial folded chromosomes (nucleoids), which contain nascent ribosomal RNA, were isolated and analyzed for the presence of ribosomal proteins by quantitative two-dimensional polyacrylamide gel electrophoresis. For each ribosomal protein on the nucleoid the relative mass, NR1, and the mean frequency of occurrence, F̄, were calculated. These data yield a frequency gradient for ribosomal proteins associated with the transcriptional complex. The possibility that this gradient represents a general in vivo assembly order for the addition of these proteins to 16 S and 23 S RNA is discussed.","container-title":"Journal of Molecular Biology","DOI":"10.1016/0022-2836(79)90411-X","ISSN":"0022-2836","issue":"1","journalAbbreviation":"Journal of Molecular Biology","language":"en","page":"1-22","source":"ScienceDirect","title":"In vivo transcriptionally coupled assembly of Escherichia coli ribosomal subunits","volume":"134","author":[{"family":"Narvaez","given":"C. Cowgill","non-dropping-particle":"de"},{"family":"Schaup","given":"H. W."}],"issued":{"date-parts":[["1979",10,15]]}}}],"schema":"https://github.com/citation-style-language/schema/raw/master/csl-citation.json"} </w:instrText>
      </w:r>
      <w:r>
        <w:fldChar w:fldCharType="separate"/>
      </w:r>
      <w:r w:rsidRPr="001F6595">
        <w:rPr>
          <w:rFonts w:cs="Arial"/>
        </w:rPr>
        <w:t>(de Narvaez and Schaup 1979)</w:t>
      </w:r>
      <w:r>
        <w:fldChar w:fldCharType="end"/>
      </w:r>
      <w:r>
        <w:t>.</w:t>
      </w:r>
    </w:p>
    <w:p w14:paraId="63A61AAB" w14:textId="4FFE75D7" w:rsidR="00755A4F" w:rsidRPr="007F2304" w:rsidRDefault="00393E7B" w:rsidP="00755A4F">
      <w:pPr>
        <w:spacing w:line="480" w:lineRule="auto"/>
        <w:ind w:firstLine="450"/>
        <w:jc w:val="both"/>
      </w:pPr>
      <w:r>
        <w:t xml:space="preserve">In </w:t>
      </w:r>
      <w:r>
        <w:rPr>
          <w:i/>
          <w:iCs/>
        </w:rPr>
        <w:t>E</w:t>
      </w:r>
      <w:r w:rsidR="007C3AD4">
        <w:rPr>
          <w:i/>
          <w:iCs/>
        </w:rPr>
        <w:t>scherichia</w:t>
      </w:r>
      <w:r>
        <w:rPr>
          <w:i/>
          <w:iCs/>
        </w:rPr>
        <w:t xml:space="preserve"> </w:t>
      </w:r>
      <w:r w:rsidRPr="00393E7B">
        <w:rPr>
          <w:i/>
          <w:iCs/>
        </w:rPr>
        <w:t>coli</w:t>
      </w:r>
      <w:r>
        <w:t>, t</w:t>
      </w:r>
      <w:r w:rsidR="00755A4F" w:rsidRPr="00393E7B">
        <w:t>he</w:t>
      </w:r>
      <w:r w:rsidR="00755A4F">
        <w:t xml:space="preserve"> first level of regulation o</w:t>
      </w:r>
      <w:r w:rsidR="00522B16">
        <w:t>f</w:t>
      </w:r>
      <w:r w:rsidR="00755A4F">
        <w:t xml:space="preserve"> uL10 is at the transcriptional level. A study determined the promoter strength of </w:t>
      </w:r>
      <w:r w:rsidR="00755A4F">
        <w:rPr>
          <w:i/>
          <w:iCs/>
        </w:rPr>
        <w:t xml:space="preserve">rplJ </w:t>
      </w:r>
      <w:r w:rsidR="00755A4F">
        <w:t xml:space="preserve">in comparison to other gene promoters, and found that the strength of the promoter for transcription changed with temperature and salt concentrations </w:t>
      </w:r>
      <w:r w:rsidR="00755A4F">
        <w:fldChar w:fldCharType="begin"/>
      </w:r>
      <w:r w:rsidR="00755A4F">
        <w:instrText xml:space="preserve"> ADDIN ZOTERO_ITEM CSL_CITATION {"citationID":"W88S9OQf","properties":{"formattedCitation":"(Kajitani and Ishihama 1983)","plainCitation":"(Kajitani and Ishihama 1983)","noteIndex":0},"citationItems":[{"id":360,"uris":["http://zotero.org/users/10474456/items/J7JT3BDX"],"itemData":{"id":360,"type":"article-journal","abstract":"In vitro transcription was performed in a single reaction mixture, which contained three species of truncated E. coli DNA template, each carrying one specific promoter, lacP (UV5), trpP or rplJp, and the transcripts of distinct sizes were analyzed by electrophoresis on the same gel. Using this \"mixed transcription\" system, the order of the promoter strength, i.e., the capacity to form stable open complex, was determined in the single-round transcription under the standard conditions (50 mM NaCl and 37 degrees C) to be lacP greater than trpP greater than rplJp, the latter two promoters being 30--40% and 5--10% the strength of lacP, respectively. After the multiple-round transcription, however, the level of trp transcription was the lowest due to low cyclic-reaction rate but became the highest when another trp fragment containing the natural terminator was used as the template. The order of the transcription level also varied depending on the ionic strength and the reaction temperature and, as a result, lacP was no more the strongest under high salt concentration and at high temperature.","container-title":"Nucleic Acids Research","ISSN":"0305-1048","issue":"3","journalAbbreviation":"Nucleic Acids Res","note":"PMID: 6300761\nPMCID: PMC325745","page":"671-686","source":"PubMed Central","title":"Determination of the promoter strength in the mixed transcription system: promoters of lactose, tryptophan and ribosomal protein L10 operons from Escherichia coli.","title-short":"Determination of the promoter strength in the mixed transcription system","volume":"11","author":[{"family":"Kajitani","given":"M"},{"family":"Ishihama","given":"A"}],"issued":{"date-parts":[["1983",2,11]]}}}],"schema":"https://github.com/citation-style-language/schema/raw/master/csl-citation.json"} </w:instrText>
      </w:r>
      <w:r w:rsidR="00755A4F">
        <w:fldChar w:fldCharType="separate"/>
      </w:r>
      <w:r w:rsidR="00755A4F" w:rsidRPr="00815088">
        <w:rPr>
          <w:rFonts w:cs="Arial"/>
        </w:rPr>
        <w:t>(Kajitani and Ishihama 1983)</w:t>
      </w:r>
      <w:r w:rsidR="00755A4F">
        <w:fldChar w:fldCharType="end"/>
      </w:r>
      <w:r w:rsidR="00755A4F">
        <w:t xml:space="preserve">. Further, the </w:t>
      </w:r>
      <w:r w:rsidR="00755A4F">
        <w:rPr>
          <w:i/>
          <w:iCs/>
        </w:rPr>
        <w:t xml:space="preserve">rplJ </w:t>
      </w:r>
      <w:r w:rsidR="00755A4F">
        <w:t xml:space="preserve">gene is co-transcribed with both </w:t>
      </w:r>
      <w:r w:rsidR="00755A4F">
        <w:rPr>
          <w:i/>
          <w:iCs/>
        </w:rPr>
        <w:t xml:space="preserve">rpoB </w:t>
      </w:r>
      <w:r w:rsidR="00755A4F">
        <w:t xml:space="preserve">and </w:t>
      </w:r>
      <w:r w:rsidR="00755A4F">
        <w:rPr>
          <w:i/>
          <w:iCs/>
        </w:rPr>
        <w:t>rpoC</w:t>
      </w:r>
      <w:r w:rsidR="00930F50">
        <w:t xml:space="preserve"> </w:t>
      </w:r>
      <w:r w:rsidR="00755A4F">
        <w:rPr>
          <w:i/>
          <w:iCs/>
        </w:rPr>
        <w:fldChar w:fldCharType="begin"/>
      </w:r>
      <w:r w:rsidR="00755A4F">
        <w:rPr>
          <w:i/>
          <w:iCs/>
        </w:rPr>
        <w:instrText xml:space="preserve"> ADDIN ZOTERO_ITEM CSL_CITATION {"citationID":"MFkkQq0R","properties":{"formattedCitation":"(Linn and Scaife 1978; Yamamoto and Nomura 1978)","plainCitation":"(Linn and Scaife 1978; Yamamoto and Nomura 1978)","noteIndex":0},"citationItems":[{"id":366,"uris":["http://zotero.org/users/10474456/items/QDAXZMZS"],"itemData":{"id":366,"type":"article-journal","abstract":"A set of restriction fragments cloned into phage λ vectors has allowed us to locate a site necessary for full rpoBC expression. We find that these genes for the two large subunits of RNA polymerase and the genes, rplL and rplJ, for two ribosomal proteins, form a single operon.","container-title":"Nature","DOI":"10.1038/276033a0","ISSN":"1476-4687","issue":"5683","language":"en","license":"1978 Springer Nature Limited","note":"number: 5683\npublisher: Nature Publishing Group","page":"33-37","source":"www.nature.com","title":"Identification of a single promoter in E. coli for rplJ, rplL and rpoBC","volume":"276","author":[{"family":"Linn","given":"Thomas"},{"family":"Scaife","given":"J."}],"issued":{"date-parts":[["1978",11]]}}},{"id":363,"uris":["http://zotero.org/users/10474456/items/5Z4AF7GU"],"itemData":{"id":363,"type":"article-journal","abstract":"The lambdarifd18 transducing phage carries genes for RNA polymerase (nucleosidetriphosphate:RNA nucleotidyltransferase; EC 2.7.7.6) subunits beta and beta' (rpoB,C) and genes for four ribosomal proteins (rplK for L11, rplA for LI, rplJ for L10, and rplL for L7/L12). DNA segments of various sizes, which cover the rifd allele of the rpoB gene, were cloned into lambda vector phages. The hybrid phages were then analyzed for their ability to express the rpoB gene and neighboring ribosomal protein genes in ultraviolet-irradiated lambda-lysogenic and nonlysogenic bacterial hosts. The results show that the rpoB gene is cotranscribed with two neighboring ribosomal protein genes and that in the rpoB,C transcription unit is: promoter, rp1J, rp1L, rpoB, and rpoC.","container-title":"Proceedings of the National Academy of Sciences of the United States of America","ISSN":"0027-8424","issue":"8","journalAbbreviation":"Proc Natl Acad Sci U S A","note":"PMID: 358203\nPMCID: PMC392894","page":"3891-3895","source":"PubMed Central","title":"Contranscription of genes for RNA polymerase subunits beta and beta' with genes for ribosomal proteins in Escherichia coli.","volume":"75","author":[{"family":"Yamamoto","given":"M"},{"family":"Nomura","given":"M"}],"issued":{"date-parts":[["1978",8]]}}}],"schema":"https://github.com/citation-style-language/schema/raw/master/csl-citation.json"} </w:instrText>
      </w:r>
      <w:r w:rsidR="00755A4F">
        <w:rPr>
          <w:i/>
          <w:iCs/>
        </w:rPr>
        <w:fldChar w:fldCharType="separate"/>
      </w:r>
      <w:r w:rsidR="00755A4F" w:rsidRPr="00815088">
        <w:rPr>
          <w:rFonts w:cs="Arial"/>
        </w:rPr>
        <w:t>(Linn and Scaife 1978; Yamamoto and Nomura 1978)</w:t>
      </w:r>
      <w:r w:rsidR="00755A4F">
        <w:rPr>
          <w:i/>
          <w:iCs/>
        </w:rPr>
        <w:fldChar w:fldCharType="end"/>
      </w:r>
      <w:r w:rsidR="00755A4F">
        <w:t xml:space="preserve">. </w:t>
      </w:r>
      <w:r w:rsidR="002E262C">
        <w:t>W</w:t>
      </w:r>
      <w:r w:rsidR="00755A4F">
        <w:t xml:space="preserve">hile promoter strength and environmental conditions can lead to the transcriptional regulation of uL10, proposed intrinsic </w:t>
      </w:r>
      <w:r w:rsidR="00522B16">
        <w:t>attenuators</w:t>
      </w:r>
      <w:r w:rsidR="00755A4F">
        <w:t xml:space="preserve"> in the operon reduce the expression of the</w:t>
      </w:r>
      <w:r w:rsidR="002955DF">
        <w:t xml:space="preserve"> downstream</w:t>
      </w:r>
      <w:r w:rsidR="00755A4F">
        <w:t xml:space="preserve"> </w:t>
      </w:r>
      <w:r w:rsidR="00755A4F">
        <w:rPr>
          <w:i/>
          <w:iCs/>
        </w:rPr>
        <w:t xml:space="preserve">rpo </w:t>
      </w:r>
      <w:r w:rsidR="00755A4F">
        <w:t>genes</w:t>
      </w:r>
      <w:r w:rsidR="00EE72D9">
        <w:t xml:space="preserve">. This results in </w:t>
      </w:r>
      <w:r w:rsidR="00930F50">
        <w:t>approximately</w:t>
      </w:r>
      <w:r w:rsidR="00EE72D9">
        <w:t xml:space="preserve"> 5 times the amount of mRNA </w:t>
      </w:r>
      <w:r w:rsidR="00930F50">
        <w:t xml:space="preserve">encoding </w:t>
      </w:r>
      <w:r w:rsidR="00755A4F">
        <w:t xml:space="preserve">the ribosomal proteins </w:t>
      </w:r>
      <w:r w:rsidR="00930F50">
        <w:t>compared to the RNA polymerase proteins</w:t>
      </w:r>
      <w:r w:rsidR="00755A4F">
        <w:t xml:space="preserve"> </w:t>
      </w:r>
      <w:r w:rsidR="00755A4F">
        <w:fldChar w:fldCharType="begin"/>
      </w:r>
      <w:r w:rsidR="00755A4F">
        <w:instrText xml:space="preserve"> ADDIN ZOTERO_ITEM CSL_CITATION {"citationID":"j9lKRKbS","properties":{"formattedCitation":"(Barry, Squires, and Squires 1979)","plainCitation":"(Barry, Squires, and Squires 1979)","noteIndex":0},"citationItems":[{"id":368,"uris":["http://zotero.org/users/10474456/items/9U9D89ZH"],"itemData":{"id":368,"type":"article-journal","abstract":"Gene fusions constructed in vitro have been used to examine transcription regulatory signals from the operon which encodes ribosomal proteins L10 and L7/12 and the RNA polymerase beta and beta' subunits (the rplJL-rpoBC operon). Portions of this operon, which were obtained by in vitro deletions, have been placed between the ara promoter and the lacZ gene in the gene-fusion plasmid pMC81 developed by M. Casadaban and S. Cohen. The effect of the inserted DNA segment on the expression of the lacZ gene (in the presence and absence of arabinose) permits the localization of regulatory signals to discrete regions of the rplJL-rpoBC operon. An element that reduces the level of distal gene expression to one-sixth is located on a fragment which spans the rplL-rpoB intercistronic region. This strongly supports the idea that there is an attenuator in this region. The terminator for the operon is located on a fragment which spans the 3' end of the rpoC gene. The major promoter for the operon precedes the rplJ gene [Yamamoto, M. &amp; Nomura, M. (1978) Proc. Natl. Acad. Sci. USA 75, 3891-3895 and Linn, T. &amp; Scaife, J. (1978) Nature (London) 276, 33-37] and was not examined in this study. However, a weak promoter is observed on the fragment that spans the rplJ-rplL intercistronic region. Other regions of the operon may also contain weak promoters. The contribution of these elements to the regulation of this complex operon is discussed.","container-title":"Proceedings of the National Academy of Sciences of the United States of America","DOI":"10.1073/pnas.76.10.4922","ISSN":"0027-8424","issue":"10","journalAbbreviation":"Proc Natl Acad Sci U S A","language":"eng","note":"PMID: 116224\nPMCID: PMC413050","page":"4922-4926","source":"PubMed","title":"Control features within the rplJL-rpoBC transcription unit of Escherichia coli","volume":"76","author":[{"family":"Barry","given":"G."},{"family":"Squires","given":"C. L."},{"family":"Squires","given":"C."}],"issued":{"date-parts":[["1979",10]]}}}],"schema":"https://github.com/citation-style-language/schema/raw/master/csl-citation.json"} </w:instrText>
      </w:r>
      <w:r w:rsidR="00755A4F">
        <w:fldChar w:fldCharType="separate"/>
      </w:r>
      <w:r w:rsidR="00755A4F" w:rsidRPr="007F2304">
        <w:rPr>
          <w:rFonts w:cs="Arial"/>
        </w:rPr>
        <w:t>(Barry, Squires, and Squires 1979)</w:t>
      </w:r>
      <w:r w:rsidR="00755A4F">
        <w:fldChar w:fldCharType="end"/>
      </w:r>
      <w:r w:rsidR="00755A4F">
        <w:t>.</w:t>
      </w:r>
    </w:p>
    <w:p w14:paraId="7659F480" w14:textId="0F462F14" w:rsidR="00755A4F" w:rsidRDefault="00930F50" w:rsidP="00755A4F">
      <w:pPr>
        <w:spacing w:line="480" w:lineRule="auto"/>
        <w:ind w:firstLine="450"/>
        <w:jc w:val="both"/>
      </w:pPr>
      <w:r w:rsidRPr="00A33115">
        <w:t xml:space="preserve">When </w:t>
      </w:r>
      <w:r w:rsidR="00755A4F" w:rsidRPr="00A33115">
        <w:t>uL10</w:t>
      </w:r>
      <w:r w:rsidRPr="00A33115">
        <w:t xml:space="preserve"> is present in excess of the amount needed for ribosome assembly, </w:t>
      </w:r>
      <w:r w:rsidR="00A33115">
        <w:t xml:space="preserve">a negative feedback mechanism (autoregulation) leads to its </w:t>
      </w:r>
      <w:r w:rsidR="00A33115">
        <w:lastRenderedPageBreak/>
        <w:t xml:space="preserve">repression. This requires uL10 and </w:t>
      </w:r>
      <w:r w:rsidR="00755A4F" w:rsidRPr="00A33115">
        <w:t xml:space="preserve">the uL10-L7/L12 complex </w:t>
      </w:r>
      <w:r w:rsidR="00755A4F" w:rsidRPr="00A33115">
        <w:fldChar w:fldCharType="begin"/>
      </w:r>
      <w:r w:rsidR="00755A4F" w:rsidRPr="00A33115">
        <w:instrText xml:space="preserve"> ADDIN ZOTERO_ITEM CSL_CITATION {"citationID":"f0lwVXMU","properties":{"formattedCitation":"(Fukuda 1980)","plainCitation":"(Fukuda 1980)","noteIndex":0},"citationItems":[{"id":170,"uris":["http://zotero.org/users/10474456/items/BU9S22ZR"],"itemData":{"id":170,"type":"article-journal","abstract":"The in vitro synthesis of Escherichia coli ribosomal proteins, L10 and L7/12, is specifically repressed by the addition of the L10-L7/12 complex, while that of other ribosomal proteins encoded by the neighboring operons is not affected. Thus the expression of the rpoBC operon is controlled by two autorepression systems, one for the two ribosomal proteins and the other for RNA polymerase /3 and /3' subunits, both operating probably at the translational level.","language":"en","source":"Zotero","title":"Autogenous Regulation of the Synthesis of Ribosomal Proteins, L10 and L7/12, in Escherichia coil","author":[{"family":"Fukuda","given":"Ryuji"}],"issued":{"date-parts":[["1980"]]}}}],"schema":"https://github.com/citation-style-language/schema/raw/master/csl-citation.json"} </w:instrText>
      </w:r>
      <w:r w:rsidR="00755A4F" w:rsidRPr="00A33115">
        <w:fldChar w:fldCharType="separate"/>
      </w:r>
      <w:r w:rsidR="00755A4F" w:rsidRPr="00A33115">
        <w:rPr>
          <w:rFonts w:cs="Arial"/>
        </w:rPr>
        <w:t>(Fukuda 1980)</w:t>
      </w:r>
      <w:r w:rsidR="00755A4F" w:rsidRPr="00A33115">
        <w:fldChar w:fldCharType="end"/>
      </w:r>
      <w:r w:rsidR="00755A4F" w:rsidRPr="00A33115">
        <w:t xml:space="preserve">. This autoregulation was determined to act at a specific site, near the translational start site of uL10, in particular at a bulge loop secondary structure of the mRNA where it is proposed the complex binds and changes conformation </w:t>
      </w:r>
      <w:r w:rsidR="00755A4F" w:rsidRPr="00A33115">
        <w:fldChar w:fldCharType="begin"/>
      </w:r>
      <w:r w:rsidR="00755A4F" w:rsidRPr="00A33115">
        <w:instrText xml:space="preserve"> ADDIN ZOTERO_ITEM CSL_CITATION {"citationID":"3dfpN4rI","properties":{"formattedCitation":"(Climie and Friesen 1987; Yates et al. 1981)","plainCitation":"(Climie and Friesen 1987; Yates et al. 1981)","noteIndex":0},"citationItems":[{"id":162,"uris":["http://zotero.org/users/10474456/items/CCQFIM6F"],"itemData":{"id":162,"type":"article-journal","container-title":"Journal of Molecular Biology","DOI":"10.1016/0022-2836(87)90287-7","ISSN":"00222836","issue":"3","journalAbbreviation":"Journal of Molecular Biology","language":"en","page":"371-381","source":"DOI.org (Crossref)","title":"Feedback regulation of the rplJL-rpoBC ribosomal protein operon of Escherichia coli requires a region of mRNA secondary structure","volume":"198","author":[{"family":"Climie","given":"Shane C."},{"family":"Friesen","given":"James D."}],"issued":{"date-parts":[["1987",12]]}}},{"id":171,"uris":["http://zotero.org/users/10474456/items/XQT6DPAV"],"itemData":{"id":171,"type":"article-journal","container-title":"Nature","DOI":"10.1038/294190a0","ISSN":"0028-0836","issue":"5837","journalAbbreviation":"Nature","language":"eng","note":"PMID: 6272122","page":"190-192","source":"PubMed","title":"E. coli ribosomal protein L10 inhibits translation of L10 and L7/L12 mRNAs by acting at a single site","volume":"294","author":[{"family":"Yates","given":"J. L."},{"family":"Dean","given":"D."},{"family":"Strycharz","given":"W. A."},{"family":"Nomura","given":"M."}],"issued":{"date-parts":[["1981",11,12]]}}}],"schema":"https://github.com/citation-style-language/schema/raw/master/csl-citation.json"} </w:instrText>
      </w:r>
      <w:r w:rsidR="00755A4F" w:rsidRPr="00A33115">
        <w:fldChar w:fldCharType="separate"/>
      </w:r>
      <w:r w:rsidR="00755A4F" w:rsidRPr="00A33115">
        <w:rPr>
          <w:rFonts w:cs="Arial"/>
        </w:rPr>
        <w:t>(Climie and Friesen 1987; Yates et al. 1981)</w:t>
      </w:r>
      <w:r w:rsidR="00755A4F" w:rsidRPr="00A33115">
        <w:fldChar w:fldCharType="end"/>
      </w:r>
      <w:r w:rsidR="00755A4F" w:rsidRPr="00A33115">
        <w:t xml:space="preserve">. Additionally, it is suggested that uL10 when not coupled with L7/L12 is subject to proteolytic decay </w:t>
      </w:r>
      <w:r w:rsidR="00755A4F" w:rsidRPr="00A33115">
        <w:fldChar w:fldCharType="begin"/>
      </w:r>
      <w:r w:rsidR="00755A4F" w:rsidRPr="00A33115">
        <w:instrText xml:space="preserve"> ADDIN ZOTERO_ITEM CSL_CITATION {"citationID":"VlpWvPo2","properties":{"formattedCitation":"(Petersen 1990)","plainCitation":"(Petersen 1990)","noteIndex":0},"citationItems":[{"id":320,"uris":["http://zotero.org/users/10474456/items/6S2HD6EX"],"itemData":{"id":320,"type":"article-journal","abstract":"In Escherichia coli the genes encoding ribosomal proteins L10 and L7/12, rplJ and rplL, respectively, are cotranscribed and subject to translational coupling. Synthesis of both proteins is coordinately regulated at the translational level by binding of L10 or a complex of L10 and L7/L12 to a single target in the mRNA leader region upstream of rplJ. Unexpectedly, small deletions that inactivated the ribosome-binding site of the rplL gene carried on multicopy plasmids exerted a negative effect on expression of the upstream rplJ gene. This effect could be overcome by overproduction of L7/L12 in trans from another plasmid. This apparent stimulation resulted from stabilization of the overproduced L10 protein by L7/L12, presumably because free L10, in contrast to L10 complexed with L7/L12, is subject to rapid proteolytic decay. The contribution of this decay mechanism to the regulation of the rplJL operon is evaluated.","container-title":"Journal of Bacteriology","ISSN":"0021-9193","issue":"1","journalAbbreviation":"J Bacteriol","note":"PMID: 2403546\nPMCID: PMC208449","page":"431-436","source":"PubMed Central","title":"Escherichia coli ribosomal protein L10 is rapidly degraded when synthesized in excess of ribosomal protein L7/L12.","volume":"172","author":[{"family":"Petersen","given":"C"}],"issued":{"date-parts":[["1990",1]]}}}],"schema":"https://github.com/citation-style-language/schema/raw/master/csl-citation.json"} </w:instrText>
      </w:r>
      <w:r w:rsidR="00755A4F" w:rsidRPr="00A33115">
        <w:fldChar w:fldCharType="separate"/>
      </w:r>
      <w:r w:rsidR="00755A4F" w:rsidRPr="00A33115">
        <w:rPr>
          <w:rFonts w:cs="Arial"/>
        </w:rPr>
        <w:t>(Petersen 1990)</w:t>
      </w:r>
      <w:r w:rsidR="00755A4F" w:rsidRPr="00A33115">
        <w:fldChar w:fldCharType="end"/>
      </w:r>
      <w:r w:rsidR="00755A4F" w:rsidRPr="00A33115">
        <w:t>.</w:t>
      </w:r>
      <w:r w:rsidR="00755A4F">
        <w:t xml:space="preserve"> </w:t>
      </w:r>
    </w:p>
    <w:p w14:paraId="7405BF4B" w14:textId="77777777" w:rsidR="00755A4F" w:rsidRDefault="00755A4F" w:rsidP="00755A4F">
      <w:pPr>
        <w:spacing w:line="480" w:lineRule="auto"/>
        <w:ind w:firstLine="450"/>
        <w:jc w:val="both"/>
      </w:pPr>
      <w:r>
        <w:t xml:space="preserve">While the regulation of uL10 is both interesting and complex, it is important to note that it does not set a canonic precedent for each ribosomal protein. Some others share the same regulatory mechanism, however, there is a variety of mechanisms described in other literature </w:t>
      </w:r>
      <w:r>
        <w:fldChar w:fldCharType="begin"/>
      </w:r>
      <w:r>
        <w:instrText xml:space="preserve"> ADDIN ZOTERO_ITEM CSL_CITATION {"citationID":"cLSDLPG7","properties":{"formattedCitation":"(Zengel and Lindahl 1994)","plainCitation":"(Zengel and Lindahl 1994)","noteIndex":0},"citationItems":[{"id":102,"uris":["http://zotero.org/users/10474456/items/QF5YB3AJ"],"itemData":{"id":102,"type":"chapter","container-title":"Progress in Nucleic Acid Research and Molecular Biology","ISBN":"978-0-12-540047-3","language":"en","note":"DOI: 10.1016/S0079-6603(08)60256-1","page":"331-370","publisher":"Elsevier","source":"DOI.org (Crossref)","title":"Diverse Mechanisms for Regulating Ribosomal Protein Synthesis in Escherichia coli","URL":"https://linkinghub.elsevier.com/retrieve/pii/S0079660308602561","volume":"47","author":[{"family":"Zengel","given":"Janice M."},{"family":"Lindahl","given":"Lasse"}],"accessed":{"date-parts":[["2022",10,27]]},"issued":{"date-parts":[["1994"]]}}}],"schema":"https://github.com/citation-style-language/schema/raw/master/csl-citation.json"} </w:instrText>
      </w:r>
      <w:r>
        <w:fldChar w:fldCharType="separate"/>
      </w:r>
      <w:r w:rsidRPr="00CD605B">
        <w:rPr>
          <w:rFonts w:cs="Arial"/>
        </w:rPr>
        <w:t>(Zengel and Lindahl 1994)</w:t>
      </w:r>
      <w:r>
        <w:fldChar w:fldCharType="end"/>
      </w:r>
      <w:r>
        <w:t>. It is possible that there are more mechanisms in the control of r-proteins which are not yet elucidated.</w:t>
      </w:r>
    </w:p>
    <w:p w14:paraId="21A00EDC" w14:textId="77777777" w:rsidR="00405C64" w:rsidRPr="005028D6" w:rsidRDefault="00405C64" w:rsidP="005028D6">
      <w:pPr>
        <w:spacing w:before="240" w:line="480" w:lineRule="auto"/>
        <w:rPr>
          <w:b/>
          <w:bCs/>
        </w:rPr>
      </w:pPr>
      <w:r w:rsidRPr="005028D6">
        <w:rPr>
          <w:b/>
          <w:bCs/>
        </w:rPr>
        <w:t>Ribosomes are heterogenous.</w:t>
      </w:r>
    </w:p>
    <w:p w14:paraId="457AD333" w14:textId="531FF119" w:rsidR="00405C64" w:rsidRPr="00671685" w:rsidRDefault="00405C64" w:rsidP="00B43E01">
      <w:pPr>
        <w:spacing w:line="480" w:lineRule="auto"/>
        <w:ind w:firstLine="450"/>
        <w:jc w:val="both"/>
      </w:pPr>
      <w:r w:rsidRPr="00671685">
        <w:t xml:space="preserve">The ribosome is generally thought to </w:t>
      </w:r>
      <w:r w:rsidR="00234177">
        <w:t>operat</w:t>
      </w:r>
      <w:r w:rsidR="00142929">
        <w:t>e</w:t>
      </w:r>
      <w:r w:rsidR="00234177">
        <w:t xml:space="preserve"> as a homogenous machine</w:t>
      </w:r>
      <w:r w:rsidR="00142929">
        <w:t>,</w:t>
      </w:r>
      <w:r w:rsidR="00142929" w:rsidRPr="00142929">
        <w:t xml:space="preserve"> </w:t>
      </w:r>
      <w:r w:rsidR="00142929" w:rsidRPr="00671685">
        <w:t>indiscriminately translat</w:t>
      </w:r>
      <w:r w:rsidR="00142929">
        <w:t>ing</w:t>
      </w:r>
      <w:r w:rsidR="00142929" w:rsidRPr="00671685">
        <w:t xml:space="preserve"> mRNAs</w:t>
      </w:r>
      <w:r w:rsidRPr="00671685">
        <w:t>. However, ribosome composition can be heterogenous</w:t>
      </w:r>
      <w:r w:rsidR="004846B7">
        <w:t xml:space="preserve"> with respect to its rRNAs and proteins</w:t>
      </w:r>
      <w:r w:rsidRPr="00671685">
        <w:t>, meaning that all ribosomes in an organism</w:t>
      </w:r>
      <w:r w:rsidR="00393E7B">
        <w:t>,</w:t>
      </w:r>
      <w:r w:rsidRPr="00671685">
        <w:t xml:space="preserve"> or even in a single cell</w:t>
      </w:r>
      <w:r w:rsidR="00393E7B">
        <w:t>,</w:t>
      </w:r>
      <w:r w:rsidRPr="00671685">
        <w:t xml:space="preserve"> may not have precisely the same composition </w:t>
      </w:r>
      <w:r w:rsidRPr="00671685">
        <w:fldChar w:fldCharType="begin"/>
      </w:r>
      <w:r w:rsidRPr="00671685">
        <w:instrText xml:space="preserve"> ADDIN ZOTERO_ITEM CSL_CITATION {"citationID":"3nNYVTQ6","properties":{"formattedCitation":"(Byrgazov, Vesper, and Moll 2013)","plainCitation":"(Byrgazov, Vesper, and Moll 2013)","noteIndex":0},"citationItems":[{"id":111,"uris":["http://zotero.org/users/10474456/items/LMGSPG6D"],"itemData":{"id":111,"type":"article-journal","abstract":"Translation of the mRNA-encoded genetic information into proteins is catalyzed by the intricate ribonucleoprotein machine, the ribosome. Historically, the bacterial ribosome is viewed as an unchangeable entity, constantly equipped with the entire complement of RNAs and proteins. Conversely, several lines of evidence indicate the presence of functional selective ribosomal subpopulations that exhibit variations in the RNA or the protein components and modulate the translational program in response to environmental changes. Here, we summarize these findings, which raise the functional status of the ribosome from a protein synthesis machinery only to a regulatory hub that integrates environmental cues in the process of protein synthesis, thereby adding an additional level of complexity to the regulation of gene expression.","container-title":"Current Opinion in Microbiology","DOI":"10.1016/j.mib.2013.01.009","issue":"2","language":"en","page":"133-139","title":"Ribosome heterogeneity: another level of complexity in bacterial translation regulation","title-short":"Ribosome heterogeneity","volume":"16","author":[{"family":"Byrgazov","given":"Konstantin"},{"family":"Vesper","given":"Oliver"},{"family":"Moll","given":"Isabella"}],"issued":{"date-parts":[["2013",4]]}}}],"schema":"https://github.com/citation-style-language/schema/raw/master/csl-citation.json"} </w:instrText>
      </w:r>
      <w:r w:rsidRPr="00671685">
        <w:fldChar w:fldCharType="separate"/>
      </w:r>
      <w:r w:rsidRPr="00671685">
        <w:rPr>
          <w:rFonts w:cs="Arial"/>
        </w:rPr>
        <w:t>(Byrgazov, Vesper, and Moll 2013)</w:t>
      </w:r>
      <w:r w:rsidRPr="00671685">
        <w:fldChar w:fldCharType="end"/>
      </w:r>
      <w:r w:rsidRPr="00671685">
        <w:t xml:space="preserve">. There are a number of sources of </w:t>
      </w:r>
      <w:r w:rsidR="008515B7">
        <w:t xml:space="preserve">genetically-encoded </w:t>
      </w:r>
      <w:r w:rsidRPr="00671685">
        <w:t>ribosome heterogeneity</w:t>
      </w:r>
      <w:r w:rsidR="00393E7B">
        <w:t>;</w:t>
      </w:r>
      <w:r w:rsidR="008515B7">
        <w:t xml:space="preserve"> including</w:t>
      </w:r>
      <w:r w:rsidRPr="00671685">
        <w:t xml:space="preserve"> multiple rRNA operons, post-transcriptional modifications of rRNA, post-transcriptional modifications of </w:t>
      </w:r>
      <w:r w:rsidR="00031C71" w:rsidRPr="00671685">
        <w:t>r</w:t>
      </w:r>
      <w:r w:rsidR="00031C71">
        <w:t>-</w:t>
      </w:r>
      <w:r w:rsidRPr="00671685">
        <w:t>proteins, or incorporation of one of multiple homologs of a given r</w:t>
      </w:r>
      <w:r w:rsidR="00031C71">
        <w:t>-</w:t>
      </w:r>
      <w:r w:rsidRPr="00671685">
        <w:t xml:space="preserve">protein. Ribosome heterogeneity has been </w:t>
      </w:r>
      <w:r w:rsidR="007E7676">
        <w:t>identified</w:t>
      </w:r>
      <w:r w:rsidR="007E7676" w:rsidRPr="00671685">
        <w:t xml:space="preserve"> </w:t>
      </w:r>
      <w:r w:rsidRPr="00671685">
        <w:t xml:space="preserve">in multiple </w:t>
      </w:r>
      <w:r w:rsidRPr="00671685">
        <w:lastRenderedPageBreak/>
        <w:t xml:space="preserve">organisms, including well-studied organisms such as </w:t>
      </w:r>
      <w:r w:rsidRPr="00671685">
        <w:rPr>
          <w:i/>
          <w:iCs/>
        </w:rPr>
        <w:t>E</w:t>
      </w:r>
      <w:r w:rsidR="007C3AD4">
        <w:rPr>
          <w:i/>
          <w:iCs/>
        </w:rPr>
        <w:t>.</w:t>
      </w:r>
      <w:r w:rsidRPr="00671685">
        <w:rPr>
          <w:i/>
          <w:iCs/>
        </w:rPr>
        <w:t xml:space="preserve"> coli</w:t>
      </w:r>
      <w:r w:rsidRPr="00671685">
        <w:t xml:space="preserve">. </w:t>
      </w:r>
      <w:r w:rsidR="002955DF">
        <w:t>In the</w:t>
      </w:r>
      <w:r w:rsidR="008515B7">
        <w:t xml:space="preserve"> case of ribosomal heterogeneity</w:t>
      </w:r>
      <w:r w:rsidR="002955DF">
        <w:t xml:space="preserve"> </w:t>
      </w:r>
      <w:r w:rsidR="00AE1E12">
        <w:t>induced by zinc concentration</w:t>
      </w:r>
      <w:r w:rsidR="008515B7">
        <w:t>, the regulation of ribosomal composition is</w:t>
      </w:r>
      <w:r>
        <w:t xml:space="preserve"> well-studied</w:t>
      </w:r>
      <w:r w:rsidR="008515B7">
        <w:t>.</w:t>
      </w:r>
      <w:r>
        <w:t xml:space="preserve"> </w:t>
      </w:r>
    </w:p>
    <w:p w14:paraId="14052E23" w14:textId="1A9900DF" w:rsidR="00405C64" w:rsidRPr="00671685" w:rsidRDefault="00405C64" w:rsidP="00405C64">
      <w:pPr>
        <w:spacing w:line="480" w:lineRule="auto"/>
        <w:rPr>
          <w:i/>
          <w:iCs/>
        </w:rPr>
      </w:pPr>
      <w:r w:rsidRPr="00671685">
        <w:rPr>
          <w:i/>
          <w:iCs/>
        </w:rPr>
        <w:t xml:space="preserve">Zinc as a </w:t>
      </w:r>
      <w:r w:rsidR="008515B7">
        <w:rPr>
          <w:i/>
          <w:iCs/>
        </w:rPr>
        <w:t>regulator</w:t>
      </w:r>
      <w:r w:rsidR="008515B7" w:rsidRPr="00671685">
        <w:rPr>
          <w:i/>
          <w:iCs/>
        </w:rPr>
        <w:t xml:space="preserve"> </w:t>
      </w:r>
      <w:r w:rsidRPr="00671685">
        <w:rPr>
          <w:i/>
          <w:iCs/>
        </w:rPr>
        <w:t xml:space="preserve">of ribosomal </w:t>
      </w:r>
      <w:r w:rsidR="008515B7">
        <w:rPr>
          <w:i/>
          <w:iCs/>
        </w:rPr>
        <w:t>composition</w:t>
      </w:r>
    </w:p>
    <w:p w14:paraId="6A8847EC" w14:textId="3FDAAA76" w:rsidR="00D32370" w:rsidRDefault="00405C64" w:rsidP="00B43E01">
      <w:pPr>
        <w:spacing w:line="480" w:lineRule="auto"/>
        <w:ind w:firstLine="450"/>
        <w:jc w:val="both"/>
      </w:pPr>
      <w:r>
        <w:t>In some bacterial species</w:t>
      </w:r>
      <w:r w:rsidR="008515B7">
        <w:t>,</w:t>
      </w:r>
      <w:r w:rsidR="00715875">
        <w:t xml:space="preserve"> such as </w:t>
      </w:r>
      <w:r w:rsidR="00715875">
        <w:rPr>
          <w:i/>
          <w:iCs/>
        </w:rPr>
        <w:t xml:space="preserve">Mycobacterium tuberculosis, Mycobacterium smegmatis, Bacillus subtilis, </w:t>
      </w:r>
      <w:r w:rsidR="00715875" w:rsidRPr="00715875">
        <w:t>and</w:t>
      </w:r>
      <w:r w:rsidR="00715875">
        <w:rPr>
          <w:i/>
          <w:iCs/>
        </w:rPr>
        <w:t xml:space="preserve"> E. coli</w:t>
      </w:r>
      <w:r w:rsidR="008515B7">
        <w:t>,</w:t>
      </w:r>
      <w:r>
        <w:t xml:space="preserve"> </w:t>
      </w:r>
      <w:r w:rsidR="00234177">
        <w:t>there are paralogs of r</w:t>
      </w:r>
      <w:r w:rsidR="00ED21FF">
        <w:t>-</w:t>
      </w:r>
      <w:r w:rsidR="00234177">
        <w:t xml:space="preserve">proteins which either coordinate or do not coordinate zinc. </w:t>
      </w:r>
      <w:r w:rsidR="00142929">
        <w:t>When</w:t>
      </w:r>
      <w:r w:rsidR="00234177">
        <w:t xml:space="preserve"> in zinc-rich conditions, these organisms will produce the zinc</w:t>
      </w:r>
      <w:r w:rsidR="00031C71">
        <w:t>-</w:t>
      </w:r>
      <w:r w:rsidR="00234177">
        <w:t>coordinating paralog</w:t>
      </w:r>
      <w:r w:rsidR="00B607B2">
        <w:t>. However, decreasing</w:t>
      </w:r>
      <w:r>
        <w:t xml:space="preserve"> zinc </w:t>
      </w:r>
      <w:r w:rsidR="00B607B2">
        <w:t>concentrations</w:t>
      </w:r>
      <w:r w:rsidR="00755A4F">
        <w:t xml:space="preserve"> </w:t>
      </w:r>
      <w:r w:rsidR="00031C71">
        <w:t xml:space="preserve">lead to production of the </w:t>
      </w:r>
      <w:r>
        <w:t>alternat</w:t>
      </w:r>
      <w:r w:rsidR="007C3AD4">
        <w:t>e</w:t>
      </w:r>
      <w:r>
        <w:t xml:space="preserve"> paralogs of </w:t>
      </w:r>
      <w:r w:rsidR="00031C71">
        <w:t>these r-</w:t>
      </w:r>
      <w:r>
        <w:t>proteins</w:t>
      </w:r>
      <w:r w:rsidR="007C3AD4">
        <w:t>, which</w:t>
      </w:r>
      <w:r w:rsidR="00031C71">
        <w:t xml:space="preserve"> do not coordinate </w:t>
      </w:r>
      <w:r w:rsidR="00B607B2">
        <w:t>zinc</w:t>
      </w:r>
      <w:r w:rsidR="00715875">
        <w:t xml:space="preserve"> </w:t>
      </w:r>
      <w:r w:rsidR="00715875">
        <w:fldChar w:fldCharType="begin"/>
      </w:r>
      <w:r w:rsidR="00715875">
        <w:instrText xml:space="preserve"> ADDIN ZOTERO_ITEM CSL_CITATION {"citationID":"Qo64sqeo","properties":{"formattedCitation":"(Dow et al. 2021; Dow and Prisic 2018; Li et al. 2020; Nanamiya et al. 2004)","plainCitation":"(Dow et al. 2021; Dow and Prisic 2018; Li et al. 2020; Nanamiya et al. 2004)","noteIndex":0},"citationItems":[{"id":425,"uris":["http://zotero.org/users/10474456/items/MQXAV5SI"],"itemData":{"id":425,"type":"article-journal","abstract":"Mycobacterium tuberculosis (Mtb) has complex and dynamic interactions with the human host, and subpopulations of Mtb that emerge during infection can influence disease outcomes. This study implicates zinc ion (Zn2+) availability as a likely driver of bacterial phenotypic heterogeneity in vivo. Zn2+ sequestration is part of “nutritional immunity”, where the immune system limits micronutrients to control pathogen growth, but this defense mechanism seems to be ineffective in controlling Mtb infection. Nonetheless, Zn2+-limitation is an environmental cue sensed by Mtb, as calprotectin triggers the zinc uptake regulator (Zur) regulon response in vitro and co-localizes with Zn2+-limited Mtb in vivo. Prolonged Zn2+ limitation leads to numerous physiological changes in vitro, including differential expression of certain antigens, alterations in lipid metabolism and distinct cell surface morphology. Furthermore, Mtb enduring limited Zn2+ employ defensive measures to fight oxidative stress, by increasing expression of proteins involved in DNA repair and antioxidant activity, including well described virulence factors KatG and AhpC, along with altered utilization of redox cofactors. Here, we propose a model in which prolonged Zn2+ limitation defines a population of Mtb with anticipatory adaptations against impending immune attack, based on the evidence that Zn2+-limited Mtb are more resistant to oxidative stress and exhibit increased survival and induce more severe pulmonary granulomas in mice. Considering that extracellular Mtb may transit through the Zn2+-limited caseum before infecting naïve immune cells or upon host-to-host transmission, the resulting phenotypic heterogeneity driven by varied Zn2+ availability likely plays a key role during early interactions with host cells.","container-title":"PLOS Pathogens","DOI":"10.1371/journal.ppat.1009570","ISSN":"1553-7374","issue":"5","journalAbbreviation":"PLOS Pathogens","language":"en","note":"publisher: Public Library of Science","page":"e1009570","source":"PLoS Journals","title":"Zinc limitation triggers anticipatory adaptations in Mycobacterium tuberculosis","volume":"17","author":[{"family":"Dow","given":"Allexa"},{"family":"Sule","given":"Preeti"},{"family":"O’Donnell","given":"Timothy J."},{"family":"Burger","given":"Andrew"},{"family":"Mattila","given":"Joshua T."},{"family":"Antonio","given":"Brandi"},{"family":"Vergara","given":"Kevin"},{"family":"Marcantonio","given":"Endrei"},{"family":"Adams","given":"L. Garry"},{"family":"James","given":"Nicholas"},{"family":"Williams","given":"Philip G."},{"family":"Cirillo","given":"Jeffrey D."},{"family":"Prisic","given":"Sladjana"}],"issued":{"date-parts":[["2021",5,14]]}}},{"id":427,"uris":["http://zotero.org/users/10474456/items/HE9R295F"],"itemData":{"id":427,"type":"article-journal","abstract":"Zinc is an essential micronutrient required for proper structure and function of many proteins. Bacteria regularly encounter zinc depletion and have evolved diverse mechanisms to continue growth when zinc is limited, including the expression of zinc-independent paralogs of zinc-binding proteins. Mycobacteria have a conserved operon encoding four zinc-independent alternative ribosomal proteins (AltRPs) that are expressed when zinc is depleted. It is unknown if mycobacterial AltRPs replace their primary paralogs in the ribosome and maintain protein synthesis under zinc-limited conditions, and if such replacements contribute to their physiology. This study shows that AltRPs from Mycobacterium smegmatis are essential for growth when zinc ion is scarce. Specifically, the deletion mutant of this operon (ΔaltRP) is unable to grow in media containing a high-affinity zinc chelator, while growth of the wild type strain is unaffected under the same conditions. However, when zinc is gradually depleted during growth in zinc-limited medium, the ΔaltRP mutant maintains the same growth rate as seen for the wild type strain. In contrast to M. smegmatis grown with sufficient zinc supplementation that forms shorter cells when transitioning from logarithmic to stationary phase, M. smegmatis deficient for zinc elongates after the expression of AltRPs in late logarithmic phase. These zinc-depleted bacteria also exhibit a remarkable morphology characterized by a condensed chromosome, increased number of polyphosphate granules, and distinct appearance of lipid bodies and the cell wall compared to the zinc-replete cells. However, the ΔaltRP cells fail to elongate and transition into the zinc-limited morphotype, resembling the wild type zinc-replete bacteria instead. Therefore, the altRP operon in M. smegmatis has a vital role in continuation of growth when zinc is scarce and in triggering specific morphogenesis during the adaptation to zinc limitation, suggesting that AltRPs can functionally replace their zinc-dependent paralogs, but also contribute to mycobacterial physiology in a unique way.","container-title":"PLOS ONE","DOI":"10.1371/journal.pone.0196300","ISSN":"1932-6203","issue":"4","journalAbbreviation":"PLOS ONE","language":"en","note":"publisher: Public Library of Science","page":"e0196300","source":"PLoS Journals","title":"Alternative ribosomal proteins are required for growth and morphogenesis of Mycobacterium smegmatis under zinc limiting conditions","volume":"13","author":[{"family":"Dow","given":"Allexa"},{"family":"Prisic","given":"Sladjana"}],"issued":{"date-parts":[["2018",4,23]]}}},{"id":423,"uris":["http://zotero.org/users/10474456/items/8MTL88NC"],"itemData":{"id":423,"type":"article-journal","abstract":"Zinc starvation in mycobacteria leads to remodeling of ribosomes, in which multiple ribosomal (r-) proteins containing the zinc-binding CXXC motif are replaced by their motif-free paralogues, collectively called C− r-proteins. We previously reported that the 70S C− ribosome is exclusively targeted for hibernation by mycobacterial-specific protein Y (Mpy), which binds to the decoding center and stabilizes the ribosome in an inactive and drug-resistant state. In this study, we delineate the conditions for ribosome remodeling and hibernation and provide further insight into how zinc depletion induces Mpy recruitment to C− ribosomes. Specifically, we show that ribosome hibernation in a batch culture is induced at an approximately two-fold lower cellular zinc concentration than remodeling. We further identify a growth phase in which the C− ribosome remains active, while its hibernation is inhibited by the caseinolytic protease (Clp) system in a zinc-dependent manner. The Clp protease system destabilizes a zinc-bound form of Mpy recruitment factor (Mrf), which is stabilized upon further depletion of zinc, presumably in a zinc-free form. Stabilized Mrf binds to the 30S subunit and recruits Mpy to the ribosome. Replenishment of zinc to cells harboring hibernating ribosomes restores Mrf instability and dissociates Mpy from the ribosome. Finally, we demonstrate zinc-responsive binding of Mpy to ribosomes in Mycobacterium tuberculosis (Mtb) and show Mpy-dependent antibiotic tolerance of Mtb in mouse lungs. Together, we propose that ribosome hibernation is a specific and conserved response to zinc depletion in both environmental and pathogenic mycobacteria.","container-title":"Proceedings of the National Academy of Sciences","DOI":"10.1073/pnas.2013409117","issue":"32","note":"publisher: Proceedings of the National Academy of Sciences","page":"19528-19537","source":"pnas.org (Atypon)","title":"Progression from remodeling to hibernation of ribosomes in zinc-starved mycobacteria","volume":"117","author":[{"family":"Li","given":"Yunlong"},{"family":"Corro","given":"Jamie H."},{"family":"Palmer","given":"Christopher D."},{"family":"Ojha","given":"Anil K."}],"issued":{"date-parts":[["2020",8,11]]}}},{"id":421,"uris":["http://zotero.org/users/10474456/items/S2BNR86I"],"itemData":{"id":421,"type":"article-journal","abstract":"We have analysed changes in the composition of ribosomal proteins during cell growth in Bacillus subtilis. Ribosome fractions were prepared from B. subtilis cells at different phases of growth and were separated by radical-free and highly reducing (RFHR) two-dimensional polyacrylamide gel electrophoresis. We identified 50 ribosomal proteins, including two paralogues of L31 protein (RpmE and YtiA). Although the ribosome fraction extracted from exponentially growing cells contained RpmE protein, this protein disappeared during the stationary phase. In contrast, YtiA was detected in the ribosome fraction extracted after the end of exponential growth. Expression of the ytiA gene encoding YtiA was found to be negatively controlled by Zur, a zinc-specific transcriptional repressor that controls zinc transport operons. Analysis by inductively coupled plasma mass spectrometry (ICP-MS) indicated that RpmE contains one zinc ion per molecule of protein. In addition, mutagenesis of the rpmE gene encoding RpmE revealed that Cys-36 and Cys-39, located within a CxxC motif, are required not only for binding zinc but also for the accumulation of RpmE in the cell. Taken together, these results indicate that zinc plays an essential role in the alternation between two types of L31 protein in the ribosome of B. subtilis.","container-title":"Molecular Microbiology","DOI":"10.1111/j.1365-2958.2003.03972.x","ISSN":"0950-382X","issue":"1","journalAbbreviation":"Mol Microbiol","language":"eng","note":"PMID: 15049826","page":"273-283","source":"PubMed","title":"Zinc is a key factor in controlling alternation of two types of L31 protein in the Bacillus subtilis ribosome","volume":"52","author":[{"family":"Nanamiya","given":"Hideaki"},{"family":"Akanuma","given":"Genki"},{"family":"Natori","given":"Yousuke"},{"family":"Murayama","given":"Rikinori"},{"family":"Kosono","given":"Saori"},{"family":"Kudo","given":"Toshiaki"},{"family":"Kobayashi","given":"Kazuo"},{"family":"Ogasawara","given":"Naotake"},{"family":"Park","given":"Seung-Moon"},{"family":"Ochi","given":"Kozo"},{"family":"Kawamura","given":"Fujio"}],"issued":{"date-parts":[["2004",4]]}}}],"schema":"https://github.com/citation-style-language/schema/raw/master/csl-citation.json"} </w:instrText>
      </w:r>
      <w:r w:rsidR="00715875">
        <w:fldChar w:fldCharType="separate"/>
      </w:r>
      <w:r w:rsidR="00715875" w:rsidRPr="00715875">
        <w:rPr>
          <w:rFonts w:cs="Arial"/>
        </w:rPr>
        <w:t>(Dow et al. 2021; Dow and Prisic 2018; Li et al. 2020; Nanamiya et al. 2004)</w:t>
      </w:r>
      <w:r w:rsidR="00715875">
        <w:fldChar w:fldCharType="end"/>
      </w:r>
      <w:r>
        <w:t xml:space="preserve">. </w:t>
      </w:r>
      <w:r w:rsidR="00965FE2">
        <w:t>The</w:t>
      </w:r>
      <w:r w:rsidR="00031C71">
        <w:t xml:space="preserve"> alternate paralogs</w:t>
      </w:r>
      <w:r w:rsidR="00965FE2">
        <w:t xml:space="preserve"> are typically regulated transcriptionally by</w:t>
      </w:r>
      <w:r>
        <w:t xml:space="preserve"> Zur,</w:t>
      </w:r>
      <w:r w:rsidR="00965FE2">
        <w:t xml:space="preserve"> the</w:t>
      </w:r>
      <w:r>
        <w:t xml:space="preserve"> zinc uptake regulator</w:t>
      </w:r>
      <w:r w:rsidR="00965FE2">
        <w:t xml:space="preserve"> protein</w:t>
      </w:r>
      <w:r w:rsidR="00A11829">
        <w:t xml:space="preserve">. Specifically Zur, when bound by zinc, will repress expression of certain transcripts by binding </w:t>
      </w:r>
      <w:r w:rsidR="000864CF">
        <w:t>a so-called Zur box in their promoter regions</w:t>
      </w:r>
      <w:r w:rsidR="00F7164F">
        <w:t>, including in the promoter regions of genes encoding the alternative r-proteins</w:t>
      </w:r>
      <w:r w:rsidR="00A11829">
        <w:t>.</w:t>
      </w:r>
      <w:r w:rsidR="007C3AD4">
        <w:t xml:space="preserve"> </w:t>
      </w:r>
      <w:r w:rsidR="008B5515">
        <w:t>W</w:t>
      </w:r>
      <w:r w:rsidR="00A11829">
        <w:t xml:space="preserve">hen zinc concentrations </w:t>
      </w:r>
      <w:r w:rsidR="007C3AD4">
        <w:t>decrease</w:t>
      </w:r>
      <w:r w:rsidR="008B5515">
        <w:t>, Zur does not coordinate zinc and does not bind DNA</w:t>
      </w:r>
      <w:r w:rsidR="007C3AD4">
        <w:t>,</w:t>
      </w:r>
      <w:r w:rsidR="008B5515">
        <w:t xml:space="preserve"> </w:t>
      </w:r>
      <w:r w:rsidR="00A11829">
        <w:t>th</w:t>
      </w:r>
      <w:r w:rsidR="007C3AD4">
        <w:t>u</w:t>
      </w:r>
      <w:r w:rsidR="00A11829">
        <w:t>s repression is lifted</w:t>
      </w:r>
      <w:r w:rsidR="00965FE2">
        <w:t xml:space="preserve"> </w:t>
      </w:r>
      <w:r w:rsidR="00965FE2">
        <w:fldChar w:fldCharType="begin"/>
      </w:r>
      <w:r w:rsidR="00DE678E">
        <w:instrText xml:space="preserve"> ADDIN ZOTERO_ITEM CSL_CITATION {"citationID":"oFtiZpSN","properties":{"formattedCitation":"(Akanuma et al. 2006; Dow et al. 2021; Dow and Prisic 2018; Li et al. 2020; Nanamiya et al. 2004; Nanamiya, Kawamura, and Kosono 2006; Nanamiya and Kawamura 2010; Prisic et al. 2015; Rasmussen et al. 2022; Shin and Helmann 2016)","plainCitation":"(Akanuma et al. 2006; Dow et al. 2021; Dow and Prisic 2018; Li et al. 2020; Nanamiya et al. 2004; Nanamiya, Kawamura, and Kosono 2006; Nanamiya and Kawamura 2010; Prisic et al. 2015; Rasmussen et al. 2022; Shin and Helmann 2016)","noteIndex":0},"citationItems":[{"id":436,"uris":["http://zotero.org/users/10474456/items/X29A3TVU"],"itemData":{"id":436,"type":"article-journal","abstract":"We have found that alternative localization of two types of L31 ribosomal protein, RpmE and YtiA, is controlled by the intracellular concentration of zinc in Bacillus subtilis. The detailed mechanisms for the alternation of L31 proteins under zinc-deficient conditions were previously unknown. To obtain further information about this regulatory mechanism, we have studied the stability of RpmE in vivo and the binding affinity of these proteins to ribosomes in vitro, and we have found that liberation of RpmE from ribosomes is triggered by the expression of ytiA, which is induced by the derepression of Zur under zinc-deficient conditions.","container-title":"Journal of Bacteriology","DOI":"10.1128/jb.188.7.2715-2720.2006","issue":"7","note":"publisher: American Society for Microbiology","page":"2715-2720","source":"journals.asm.org (Atypon)","title":"Liberation of Zinc-Containing L31 (RpmE) from Ribosomes by Its Paralogous Gene Product, YtiA, in Bacillus subtilis","volume":"188","author":[{"family":"Akanuma","given":"Genki"},{"family":"Nanamiya","given":"Hideaki"},{"family":"Natori","given":"Yousuke"},{"family":"Nomura","given":"Naofumi"},{"family":"Kawamura","given":"Fujio"}],"issued":{"date-parts":[["2006",4]]}}},{"id":425,"uris":["http://zotero.org/users/10474456/items/MQXAV5SI"],"itemData":{"id":425,"type":"article-journal","abstract":"Mycobacterium tuberculosis (Mtb) has complex and dynamic interactions with the human host, and subpopulations of Mtb that emerge during infection can influence disease outcomes. This study implicates zinc ion (Zn2+) availability as a likely driver of bacterial phenotypic heterogeneity in vivo. Zn2+ sequestration is part of “nutritional immunity”, where the immune system limits micronutrients to control pathogen growth, but this defense mechanism seems to be ineffective in controlling Mtb infection. Nonetheless, Zn2+-limitation is an environmental cue sensed by Mtb, as calprotectin triggers the zinc uptake regulator (Zur) regulon response in vitro and co-localizes with Zn2+-limited Mtb in vivo. Prolonged Zn2+ limitation leads to numerous physiological changes in vitro, including differential expression of certain antigens, alterations in lipid metabolism and distinct cell surface morphology. Furthermore, Mtb enduring limited Zn2+ employ defensive measures to fight oxidative stress, by increasing expression of proteins involved in DNA repair and antioxidant activity, including well described virulence factors KatG and AhpC, along with altered utilization of redox cofactors. Here, we propose a model in which prolonged Zn2+ limitation defines a population of Mtb with anticipatory adaptations against impending immune attack, based on the evidence that Zn2+-limited Mtb are more resistant to oxidative stress and exhibit increased survival and induce more severe pulmonary granulomas in mice. Considering that extracellular Mtb may transit through the Zn2+-limited caseum before infecting naïve immune cells or upon host-to-host transmission, the resulting phenotypic heterogeneity driven by varied Zn2+ availability likely plays a key role during early interactions with host cells.","container-title":"PLOS Pathogens","DOI":"10.1371/journal.ppat.1009570","ISSN":"1553-7374","issue":"5","journalAbbreviation":"PLOS Pathogens","language":"en","note":"publisher: Public Library of Science","page":"e1009570","source":"PLoS Journals","title":"Zinc limitation triggers anticipatory adaptations in Mycobacterium tuberculosis","volume":"17","author":[{"family":"Dow","given":"Allexa"},{"family":"Sule","given":"Preeti"},{"family":"O’Donnell","given":"Timothy J."},{"family":"Burger","given":"Andrew"},{"family":"Mattila","given":"Joshua T."},{"family":"Antonio","given":"Brandi"},{"family":"Vergara","given":"Kevin"},{"family":"Marcantonio","given":"Endrei"},{"family":"Adams","given":"L. Garry"},{"family":"James","given":"Nicholas"},{"family":"Williams","given":"Philip G."},{"family":"Cirillo","given":"Jeffrey D."},{"family":"Prisic","given":"Sladjana"}],"issued":{"date-parts":[["2021",5,14]]}}},{"id":427,"uris":["http://zotero.org/users/10474456/items/HE9R295F"],"itemData":{"id":427,"type":"article-journal","abstract":"Zinc is an essential micronutrient required for proper structure and function of many proteins. Bacteria regularly encounter zinc depletion and have evolved diverse mechanisms to continue growth when zinc is limited, including the expression of zinc-independent paralogs of zinc-binding proteins. Mycobacteria have a conserved operon encoding four zinc-independent alternative ribosomal proteins (AltRPs) that are expressed when zinc is depleted. It is unknown if mycobacterial AltRPs replace their primary paralogs in the ribosome and maintain protein synthesis under zinc-limited conditions, and if such replacements contribute to their physiology. This study shows that AltRPs from Mycobacterium smegmatis are essential for growth when zinc ion is scarce. Specifically, the deletion mutant of this operon (ΔaltRP) is unable to grow in media containing a high-affinity zinc chelator, while growth of the wild type strain is unaffected under the same conditions. However, when zinc is gradually depleted during growth in zinc-limited medium, the ΔaltRP mutant maintains the same growth rate as seen for the wild type strain. In contrast to M. smegmatis grown with sufficient zinc supplementation that forms shorter cells when transitioning from logarithmic to stationary phase, M. smegmatis deficient for zinc elongates after the expression of AltRPs in late logarithmic phase. These zinc-depleted bacteria also exhibit a remarkable morphology characterized by a condensed chromosome, increased number of polyphosphate granules, and distinct appearance of lipid bodies and the cell wall compared to the zinc-replete cells. However, the ΔaltRP cells fail to elongate and transition into the zinc-limited morphotype, resembling the wild type zinc-replete bacteria instead. Therefore, the altRP operon in M. smegmatis has a vital role in continuation of growth when zinc is scarce and in triggering specific morphogenesis during the adaptation to zinc limitation, suggesting that AltRPs can functionally replace their zinc-dependent paralogs, but also contribute to mycobacterial physiology in a unique way.","container-title":"PLOS ONE","DOI":"10.1371/journal.pone.0196300","ISSN":"1932-6203","issue":"4","journalAbbreviation":"PLOS ONE","language":"en","note":"publisher: Public Library of Science","page":"e0196300","source":"PLoS Journals","title":"Alternative ribosomal proteins are required for growth and morphogenesis of Mycobacterium smegmatis under zinc limiting conditions","volume":"13","author":[{"family":"Dow","given":"Allexa"},{"family":"Prisic","given":"Sladjana"}],"issued":{"date-parts":[["2018",4,23]]}}},{"id":423,"uris":["http://zotero.org/users/10474456/items/8MTL88NC"],"itemData":{"id":423,"type":"article-journal","abstract":"Zinc starvation in mycobacteria leads to remodeling of ribosomes, in which multiple ribosomal (r-) proteins containing the zinc-binding CXXC motif are replaced by their motif-free paralogues, collectively called C− r-proteins. We previously reported that the 70S C− ribosome is exclusively targeted for hibernation by mycobacterial-specific protein Y (Mpy), which binds to the decoding center and stabilizes the ribosome in an inactive and drug-resistant state. In this study, we delineate the conditions for ribosome remodeling and hibernation and provide further insight into how zinc depletion induces Mpy recruitment to C− ribosomes. Specifically, we show that ribosome hibernation in a batch culture is induced at an approximately two-fold lower cellular zinc concentration than remodeling. We further identify a growth phase in which the C− ribosome remains active, while its hibernation is inhibited by the caseinolytic protease (Clp) system in a zinc-dependent manner. The Clp protease system destabilizes a zinc-bound form of Mpy recruitment factor (Mrf), which is stabilized upon further depletion of zinc, presumably in a zinc-free form. Stabilized Mrf binds to the 30S subunit and recruits Mpy to the ribosome. Replenishment of zinc to cells harboring hibernating ribosomes restores Mrf instability and dissociates Mpy from the ribosome. Finally, we demonstrate zinc-responsive binding of Mpy to ribosomes in Mycobacterium tuberculosis (Mtb) and show Mpy-dependent antibiotic tolerance of Mtb in mouse lungs. Together, we propose that ribosome hibernation is a specific and conserved response to zinc depletion in both environmental and pathogenic mycobacteria.","container-title":"Proceedings of the National Academy of Sciences","DOI":"10.1073/pnas.2013409117","issue":"32","note":"publisher: Proceedings of the National Academy of Sciences","page":"19528-19537","source":"pnas.org (Atypon)","title":"Progression from remodeling to hibernation of ribosomes in zinc-starved mycobacteria","volume":"117","author":[{"family":"Li","given":"Yunlong"},{"family":"Corro","given":"Jamie H."},{"family":"Palmer","given":"Christopher D."},{"family":"Ojha","given":"Anil K."}],"issued":{"date-parts":[["2020",8,11]]}}},{"id":421,"uris":["http://zotero.org/users/10474456/items/S2BNR86I"],"itemData":{"id":421,"type":"article-journal","abstract":"We have analysed changes in the composition of ribosomal proteins during cell growth in Bacillus subtilis. Ribosome fractions were prepared from B. subtilis cells at different phases of growth and were separated by radical-free and highly reducing (RFHR) two-dimensional polyacrylamide gel electrophoresis. We identified 50 ribosomal proteins, including two paralogues of L31 protein (RpmE and YtiA). Although the ribosome fraction extracted from exponentially growing cells contained RpmE protein, this protein disappeared during the stationary phase. In contrast, YtiA was detected in the ribosome fraction extracted after the end of exponential growth. Expression of the ytiA gene encoding YtiA was found to be negatively controlled by Zur, a zinc-specific transcriptional repressor that controls zinc transport operons. Analysis by inductively coupled plasma mass spectrometry (ICP-MS) indicated that RpmE contains one zinc ion per molecule of protein. In addition, mutagenesis of the rpmE gene encoding RpmE revealed that Cys-36 and Cys-39, located within a CxxC motif, are required not only for binding zinc but also for the accumulation of RpmE in the cell. Taken together, these results indicate that zinc plays an essential role in the alternation between two types of L31 protein in the ribosome of B. subtilis.","container-title":"Molecular Microbiology","DOI":"10.1111/j.1365-2958.2003.03972.x","ISSN":"0950-382X","issue":"1","journalAbbreviation":"Mol Microbiol","language":"eng","note":"PMID: 15049826","page":"273-283","source":"PubMed","title":"Zinc is a key factor in controlling alternation of two types of L31 protein in the Bacillus subtilis ribosome","volume":"52","author":[{"family":"Nanamiya","given":"Hideaki"},{"family":"Akanuma","given":"Genki"},{"family":"Natori","given":"Yousuke"},{"family":"Murayama","given":"Rikinori"},{"family":"Kosono","given":"Saori"},{"family":"Kudo","given":"Toshiaki"},{"family":"Kobayashi","given":"Kazuo"},{"family":"Ogasawara","given":"Naotake"},{"family":"Park","given":"Seung-Moon"},{"family":"Ochi","given":"Kozo"},{"family":"Kawamura","given":"Fujio"}],"issued":{"date-parts":[["2004",4]]}}},{"id":429,"uris":["http://zotero.org/users/10474456/items/UKJI3PYK"],"itemData":{"id":429,"type":"article-journal","abstract":"Recent advanced studies of genomics and proteomics have revealed the variation and diversity of ribosomal proteins (r-proteins) in different organisms and organelles. Radical free and highly reducing (RFHR) two-dimensional (2-D) electrophoresis is known to be powerful for separating ribosomal proteins that are usually small and basic, and not separated well by standard 2-D electrophoresis. Using the RFHR method, we investigated the protein profile of the Bacillus subtilis ribosomes by a proteomic approach. We found that two L31 paralogue proteins (RpmE and YtiA) showed different temporal expression patterns in the ribosomes. The RpmE protein, which is an L31 variant with a Zn-binding motif, binds one zinc ion at the motif, which is required for stabilization of the protein in the cell. On the other hand, the expression of the ytiA gene, which encodes another L31 variant (YtiA) without the Zn-binding motif, is negatively controlled by the zinc-specific transcriptional repressor Zur and is likely induced by zinc starvation. This article reviews the recent findings that replacement of two types of L31 proteins in the ribosome is controlled by the intracellular zinc concentration.","container-title":"The Journal of General and Applied Microbiology","DOI":"10.2323/jgam.52.249","issue":"5","page":"249-258","source":"J-Stage","title":"Proteomic study of the &lt;i&gt;Bacillus subtilis&lt;/i&gt; ribosome: Finding of zinc-dependent replacement for ribosomal protein L31 paralogues","title-short":"Proteomic study of the &lt;i&gt;Bacillus subtilis&lt;/i&gt; ribosome","volume":"52","author":[{"family":"Nanamiya","given":"Hideaki"},{"family":"Kawamura","given":"Fujio"},{"family":"Kosono","given":"Saori"}],"issued":{"date-parts":[["2006"]]}}},{"id":431,"uris":["http://zotero.org/users/10474456/items/JEGQNMSF"],"itemData":{"id":431,"type":"article-journal","abstract":"Sporulation is one of the adaptive responses used by Bacillus subtilis, a well-characterized gram-positive soil bacterium, when cells encounter adverse growth conditions, such as nutrient limitation. The activity and/or intracellular levels of ribosomes must be tightly controlled during sporulation, because protein translation and ribosome synthesis consume vast amounts of energy, but very little is known about the mechanisms that regulate these processes during sporulation in B. subtilis. Therefore, to understand the role of the ribosome in sporulation, as well as the function of the B. subtilis ribosome in translation, we developed genetic and biochemical systems to analyze the constituents of the ribosome. In developing a proteomic map of ribosomal proteins, we found that two types of L31 protein (RpmE and YtiA) were associated alternatively with the ribosome. Expression of ytiA is induced under zinc-limiting conditions due to de-repression of transcription by Zur, a transcriptional repressor that represses the transcription of genes encoding the zinc-uptake machinery. Under zinc-limiting conditions, RpmE, which contains one zinc atom per molecule, is replaced by YtiA, which does not contain zinc, in the 50S subunit of the ribosome. Given that RpmE released from the ribosome is unstable in cells, this replacement might contribute to the mobilization of zinc by supplying the zinc from the released RpmE into the cells under zinc-limiting conditions. In addition, genes that encode two types of S14 (RpsN and YhzA) were also found in the genome of B. subtilis. RpsN contains zinc-binding motifs whereas YhzA does not. As in the case of ytiA, the transcription of yhzA is negatively regulated by Zur. However, unlike the L31 proteins, switching between the two types of S14 protein was not observed even under zinc-limiting conditions. Further studies strongly suggested that YhzA forms a “fail-safe” mechanism to maintain the function of the 30S subunit of the ribosome under zinc-limiting conditions. These results can provide novel insight into the role of ribosomal protein paralogs in the ribosome under zinc-limiting conditions.","container-title":"Bioscience, Biotechnology, and Biochemistry","DOI":"10.1271/bbb.90859","ISSN":"0916-8451","issue":"3","note":"publisher: Taylor &amp; Francis\n_eprint: https://doi.org/10.1271/bbb.90859\nPMID: 20208344","page":"451-461","source":"Taylor and Francis+NEJM","title":"Towards an Elucidation of the Roles of the Ribosome during Different Growth Phases in Bacillus subtilis","volume":"74","author":[{"family":"Nanamiya","given":"Hideaki"},{"family":"Kawamura","given":"Fujio"}],"issued":{"date-parts":[["2010",3,23]]}}},{"id":201,"uris":["http://zotero.org/users/10474456/items/RU7MNB2P"],"itemData":{"id":201,"type":"article-journal","abstract":"The Mycobacterium tuberculosis genome encodes five putative ‘alternative’ ribosomal proteins whose expression is repressed at high Zn2+ concentration. Each alternative protein has a primary homologue that is predicted to bind Zn2+. We hypothesized that zinc triggers a switch between these paired homologous proteins and therefore chose one of these pairs, S18-1/S18-2, to study mechanisms of the predicted competition for their incorporation into ribosomes. Our data show that Zn2+-depletion causes accumulation of both S18-2 mRNA and protein. In contrast, S18-1 mRNA levels are unchanged to slightly elevated under Zn2+-limited conditions. However, the amount of S18-1 protein is markedly decreased. We further demonstrate that both S18 proteins interact with ribosomal protein S6, a committed step in ribosome biogenesis. Zn2+ is absolutely required for the S18-1/S6 interaction while it is dispensable for S18-2/S6 dimer formation. These data suggest a model in which S18-1 is the dominant ribosome constituent in high zinc conditions, e.g. inside of phagosomes, but that it can be replaced by S18-2 when zinc is deficient, e.g. in the extracellular milieu. Consequently, Zn2+-depletion may serve as a signal for building alternative ribosomes when M. tuberculosis is released from macrophages, to allow survival in the extracellular environment.","container-title":"Molecular Microbiology","DOI":"10.1111/mmi.13022","ISSN":"1365-2958","issue":"2","language":"en","note":"_eprint: https://onlinelibrary.wiley.com/doi/pdf/10.1111/mmi.13022","page":"263-280","source":"Wiley Online Library","title":"Zinc regulates a switch between primary and alternative S18 ribosomal proteins in Mycobacterium tuberculosis","volume":"97","author":[{"family":"Prisic","given":"Sladjana"},{"family":"Hwang","given":"Hyonson"},{"family":"Dow","given":"Allexa"},{"family":"Barnaby","given":"Omar"},{"family":"Pan","given":"Tenny S."},{"family":"Lonzanida","given":"Jaymes A."},{"family":"Chazin","given":"Walter J."},{"family":"Steen","given":"Hanno"},{"family":"Husson","given":"Robert N."}],"issued":{"date-parts":[["2015"]]}}},{"id":233,"uris":["http://zotero.org/users/10474456/items/9G9DGSYN"],"itemData":{"id":233,"type":"article-journal","abstract":"Bacteria can adapt in response to numerous stress conditions. One such stress condition is zinc depletion. The zinc-sensing transcription factor Zur regulates the way numerous bacterial species respond to severe changes in zinc availability. Under zinc sufficient conditions, Zn-loaded Zur (Zn2-Zur) is well-known to repress transcription of genes encoding zinc uptake transporters and paralogues of a few ribosomal proteins. Here, we report the discovery and mechanistic basis for the ability of Zur to up-regulate expression of the ribosomal protein L31 in response to zinc in E. coli. Through genetic mutations and reporter gene assays, we find that Zur achieves the up-regulation of L31 through a double repression cascade by which Zur first represses the transcription of L31p, a zinc-lacking paralogue of L31, which in turn represses the translation of L31. Mutational analyses show that translational repression by L31p requires an RNA hairpin structure within the l31 mRNA and involves the N-terminus of the L31p protein. This work uncovers a new genetic network that allows bacteria to respond to host-induced nutrient limiting conditions through a sophisticated ribosomal protein switching mechanism.","container-title":"Nucleic Acids Research","DOI":"10.1093/nar/gkac1086","ISSN":"1362-4962","issue":"22","journalAbbreviation":"Nucleic Acids Res","language":"eng","note":"PMID: 36533433\nPMCID: PMC9825181","page":"12739-12753","source":"PubMed","title":"Zur and zinc increase expression of E. coli ribosomal protein L31 through RNA-mediated repression of the repressor L31p","volume":"50","author":[{"family":"Rasmussen","given":"Rebecca A."},{"family":"Wang","given":"Suning"},{"family":"Camarillo","given":"Jeannie M."},{"family":"Sosnowski","given":"Victoria"},{"family":"Cho","given":"Byoung-Kyu"},{"family":"Goo","given":"Young Ah"},{"family":"Lucks","given":"Julius B."},{"family":"O'Halloran","given":"Thomas V."}],"issued":{"date-parts":[["2022",12,9]]}}},{"id":433,"uris":["http://zotero.org/users/10474456/items/N7GMMJQJ"],"itemData":{"id":433,"type":"article-journal","abstract":"Bacteria respond dynamically to the changes in zinc availability. Repression by the Bacillus subtilis transcription factor Zur requires Zn(II), which binds with negative cooperativity to two regulatory sites per dimer to form, sequentially, Zur2:Zn3 and Zur2:Zn4 forms of the repressor. Here we show that, as cells transition from zinc sufficiency to deficiency, operons regulated by Zur are derepressed in three distinct waves. The first includes the alternative RpmEB(L31*) and RpmGC(L33*) ribosomal proteins, which mobilize zinc from the ribosome, whereas the second includes the ZnuACB uptake system and the YciC metallochaperone. Finally, as zinc levels decrease further, the Zur2:Zn3 form loses Zn(II) leading to derepression of RpsNB(S14*) and FolE2, which allow continued ribosome assembly and folate synthesis, respectively. We infer that zinc mobilization from intracellular zinc stores takes priority over energy-dependent import, and our results link the biochemistry of zinc sensing by Zur to the molecular logic of the zinc deprivation response.","container-title":"Nature Communications","DOI":"10.1038/ncomms12612","ISSN":"2041-1723","issue":"1","journalAbbreviation":"Nat Commun","language":"en","license":"2016 The Author(s)","note":"number: 1\npublisher: Nature Publishing Group","page":"12612","source":"www.nature.com","title":"Molecular logic of the Zur-regulated zinc deprivation response in Bacillus subtilis","volume":"7","author":[{"family":"Shin","given":"Jung-Ho"},{"family":"Helmann","given":"John D."}],"issued":{"date-parts":[["2016",8,26]]}}}],"schema":"https://github.com/citation-style-language/schema/raw/master/csl-citation.json"} </w:instrText>
      </w:r>
      <w:r w:rsidR="00965FE2">
        <w:fldChar w:fldCharType="separate"/>
      </w:r>
      <w:r w:rsidR="00DE678E" w:rsidRPr="00DE678E">
        <w:rPr>
          <w:rFonts w:cs="Arial"/>
        </w:rPr>
        <w:t>(Akanuma et al. 2006; Dow et al. 2021; Dow and Prisic 2018; Li et al. 2020; Nanamiya et al. 2004; Nanamiya, Kawamura, and Kosono 2006; Nanamiya and Kawamura 2010; Prisic et al. 2015; Rasmussen et al. 2022; Shin and Helmann 2016)</w:t>
      </w:r>
      <w:r w:rsidR="00965FE2">
        <w:fldChar w:fldCharType="end"/>
      </w:r>
      <w:r>
        <w:t xml:space="preserve">. </w:t>
      </w:r>
      <w:r w:rsidR="00D5323D">
        <w:t>De</w:t>
      </w:r>
      <w:r w:rsidR="007C3AD4">
        <w:t>-</w:t>
      </w:r>
      <w:r w:rsidR="00D5323D">
        <w:t>repression of the genes encoding</w:t>
      </w:r>
      <w:r w:rsidR="008B5515" w:rsidRPr="008B5515">
        <w:t xml:space="preserve"> </w:t>
      </w:r>
      <w:r w:rsidR="008B5515">
        <w:t>alternate r-proteins provides</w:t>
      </w:r>
      <w:r w:rsidR="00D5323D">
        <w:t xml:space="preserve"> </w:t>
      </w:r>
      <w:r w:rsidR="00F7164F">
        <w:t xml:space="preserve">a straightforward mechanism to permit </w:t>
      </w:r>
      <w:r w:rsidR="008B5515">
        <w:t xml:space="preserve">their </w:t>
      </w:r>
      <w:r w:rsidR="00F7164F">
        <w:t xml:space="preserve">production under low zinc concentrations. </w:t>
      </w:r>
    </w:p>
    <w:p w14:paraId="40A3B030" w14:textId="6DBA23B2" w:rsidR="009E7A3F" w:rsidRDefault="009E7A3F" w:rsidP="00B43E01">
      <w:pPr>
        <w:spacing w:line="480" w:lineRule="auto"/>
        <w:ind w:firstLine="450"/>
        <w:jc w:val="both"/>
      </w:pPr>
      <w:r>
        <w:lastRenderedPageBreak/>
        <w:t xml:space="preserve">In </w:t>
      </w:r>
      <w:r>
        <w:rPr>
          <w:i/>
          <w:iCs/>
        </w:rPr>
        <w:t>B. subtilis</w:t>
      </w:r>
      <w:r>
        <w:t xml:space="preserve">, </w:t>
      </w:r>
      <w:r w:rsidR="008B5515">
        <w:t xml:space="preserve">switching </w:t>
      </w:r>
      <w:r>
        <w:t xml:space="preserve">the zinc-coordinating L31 paralog RpmE </w:t>
      </w:r>
      <w:r w:rsidR="008B5515">
        <w:t xml:space="preserve">in the ribosome for </w:t>
      </w:r>
      <w:r>
        <w:t>the alternate paralog</w:t>
      </w:r>
      <w:r w:rsidR="007C3AD4">
        <w:t>,</w:t>
      </w:r>
      <w:r>
        <w:t xml:space="preserve"> YtiA</w:t>
      </w:r>
      <w:r w:rsidR="007C3AD4">
        <w:t>,</w:t>
      </w:r>
      <w:r>
        <w:t xml:space="preserve"> allows for the release of the zinc coordinated by RpmE when environmental zinc is low </w:t>
      </w:r>
      <w:r>
        <w:fldChar w:fldCharType="begin"/>
      </w:r>
      <w:r>
        <w:instrText xml:space="preserve"> ADDIN ZOTERO_ITEM CSL_CITATION {"citationID":"4ZzXudmO","properties":{"formattedCitation":"(Nanamiya and Kawamura 2010; Shin and Helmann 2016)","plainCitation":"(Nanamiya and Kawamura 2010; Shin and Helmann 2016)","noteIndex":0},"citationItems":[{"id":431,"uris":["http://zotero.org/users/10474456/items/JEGQNMSF"],"itemData":{"id":431,"type":"article-journal","abstract":"Sporulation is one of the adaptive responses used by Bacillus subtilis, a well-characterized gram-positive soil bacterium, when cells encounter adverse growth conditions, such as nutrient limitation. The activity and/or intracellular levels of ribosomes must be tightly controlled during sporulation, because protein translation and ribosome synthesis consume vast amounts of energy, but very little is known about the mechanisms that regulate these processes during sporulation in B. subtilis. Therefore, to understand the role of the ribosome in sporulation, as well as the function of the B. subtilis ribosome in translation, we developed genetic and biochemical systems to analyze the constituents of the ribosome. In developing a proteomic map of ribosomal proteins, we found that two types of L31 protein (RpmE and YtiA) were associated alternatively with the ribosome. Expression of ytiA is induced under zinc-limiting conditions due to de-repression of transcription by Zur, a transcriptional repressor that represses the transcription of genes encoding the zinc-uptake machinery. Under zinc-limiting conditions, RpmE, which contains one zinc atom per molecule, is replaced by YtiA, which does not contain zinc, in the 50S subunit of the ribosome. Given that RpmE released from the ribosome is unstable in cells, this replacement might contribute to the mobilization of zinc by supplying the zinc from the released RpmE into the cells under zinc-limiting conditions. In addition, genes that encode two types of S14 (RpsN and YhzA) were also found in the genome of B. subtilis. RpsN contains zinc-binding motifs whereas YhzA does not. As in the case of ytiA, the transcription of yhzA is negatively regulated by Zur. However, unlike the L31 proteins, switching between the two types of S14 protein was not observed even under zinc-limiting conditions. Further studies strongly suggested that YhzA forms a “fail-safe” mechanism to maintain the function of the 30S subunit of the ribosome under zinc-limiting conditions. These results can provide novel insight into the role of ribosomal protein paralogs in the ribosome under zinc-limiting conditions.","container-title":"Bioscience, Biotechnology, and Biochemistry","DOI":"10.1271/bbb.90859","ISSN":"0916-8451","issue":"3","note":"publisher: Taylor &amp; Francis\n_eprint: https://doi.org/10.1271/bbb.90859\nPMID: 20208344","page":"451-461","source":"Taylor and Francis+NEJM","title":"Towards an Elucidation of the Roles of the Ribosome during Different Growth Phases in Bacillus subtilis","volume":"74","author":[{"family":"Nanamiya","given":"Hideaki"},{"family":"Kawamura","given":"Fujio"}],"issued":{"date-parts":[["2010",3,23]]}}},{"id":433,"uris":["http://zotero.org/users/10474456/items/N7GMMJQJ"],"itemData":{"id":433,"type":"article-journal","abstract":"Bacteria respond dynamically to the changes in zinc availability. Repression by the Bacillus subtilis transcription factor Zur requires Zn(II), which binds with negative cooperativity to two regulatory sites per dimer to form, sequentially, Zur2:Zn3 and Zur2:Zn4 forms of the repressor. Here we show that, as cells transition from zinc sufficiency to deficiency, operons regulated by Zur are derepressed in three distinct waves. The first includes the alternative RpmEB(L31*) and RpmGC(L33*) ribosomal proteins, which mobilize zinc from the ribosome, whereas the second includes the ZnuACB uptake system and the YciC metallochaperone. Finally, as zinc levels decrease further, the Zur2:Zn3 form loses Zn(II) leading to derepression of RpsNB(S14*) and FolE2, which allow continued ribosome assembly and folate synthesis, respectively. We infer that zinc mobilization from intracellular zinc stores takes priority over energy-dependent import, and our results link the biochemistry of zinc sensing by Zur to the molecular logic of the zinc deprivation response.","container-title":"Nature Communications","DOI":"10.1038/ncomms12612","ISSN":"2041-1723","issue":"1","journalAbbreviation":"Nat Commun","language":"en","license":"2016 The Author(s)","note":"number: 1\npublisher: Nature Publishing Group","page":"12612","source":"www.nature.com","title":"Molecular logic of the Zur-regulated zinc deprivation response in Bacillus subtilis","volume":"7","author":[{"family":"Shin","given":"Jung-Ho"},{"family":"Helmann","given":"John D."}],"issued":{"date-parts":[["2016",8,26]]}}}],"schema":"https://github.com/citation-style-language/schema/raw/master/csl-citation.json"} </w:instrText>
      </w:r>
      <w:r>
        <w:fldChar w:fldCharType="separate"/>
      </w:r>
      <w:r w:rsidRPr="00DE678E">
        <w:rPr>
          <w:rFonts w:cs="Arial"/>
        </w:rPr>
        <w:t>(Nanamiya and Kawamura 2010; Shin and Helmann 2016)</w:t>
      </w:r>
      <w:r>
        <w:fldChar w:fldCharType="end"/>
      </w:r>
      <w:r>
        <w:t xml:space="preserve">. This suggests that this ribosomal state switching is useful in modulating zinc availability when environmental reservoirs are low. </w:t>
      </w:r>
    </w:p>
    <w:p w14:paraId="77C5AEE2" w14:textId="128E5A24" w:rsidR="00405C64" w:rsidRPr="00AF49AF" w:rsidRDefault="009E7A3F" w:rsidP="00B43E01">
      <w:pPr>
        <w:spacing w:line="480" w:lineRule="auto"/>
        <w:ind w:firstLine="450"/>
        <w:jc w:val="both"/>
      </w:pPr>
      <w:r>
        <w:t xml:space="preserve">Beyond regulating zinc availability, </w:t>
      </w:r>
      <w:r w:rsidR="007C3AD4">
        <w:t>how</w:t>
      </w:r>
      <w:r>
        <w:t xml:space="preserve"> </w:t>
      </w:r>
      <w:r w:rsidR="00FE29F2">
        <w:t xml:space="preserve">incorporation of non-zinc coordinating paralogs impacts the </w:t>
      </w:r>
      <w:r>
        <w:t xml:space="preserve">function of ribosomes </w:t>
      </w:r>
      <w:r w:rsidR="00FE29F2">
        <w:t>is</w:t>
      </w:r>
      <w:r>
        <w:t xml:space="preserve"> not well-understand. </w:t>
      </w:r>
      <w:r w:rsidR="00965FE2">
        <w:t xml:space="preserve">In </w:t>
      </w:r>
      <w:r w:rsidR="00965FE2">
        <w:rPr>
          <w:i/>
          <w:iCs/>
        </w:rPr>
        <w:t>E. coli</w:t>
      </w:r>
      <w:r w:rsidR="00FE29F2" w:rsidRPr="0091565C">
        <w:t>,</w:t>
      </w:r>
      <w:r w:rsidR="00405C64">
        <w:t xml:space="preserve"> </w:t>
      </w:r>
      <w:r w:rsidR="00755A4F">
        <w:t>one paralog of r-protein bL31,</w:t>
      </w:r>
      <w:r w:rsidR="00965FE2">
        <w:t xml:space="preserve"> bL31A</w:t>
      </w:r>
      <w:r w:rsidR="007C3AD4">
        <w:t>,</w:t>
      </w:r>
      <w:r w:rsidR="00186963">
        <w:t xml:space="preserve"> which coordinates zinc</w:t>
      </w:r>
      <w:r w:rsidR="00755A4F">
        <w:t>,</w:t>
      </w:r>
      <w:r w:rsidR="00405C64">
        <w:t xml:space="preserve"> </w:t>
      </w:r>
      <w:r w:rsidR="00FE29F2">
        <w:t xml:space="preserve">appears to lead to </w:t>
      </w:r>
      <w:r w:rsidR="00405C64">
        <w:t xml:space="preserve">higher fitness under low temperatures </w:t>
      </w:r>
      <w:r w:rsidR="00755A4F">
        <w:t>and</w:t>
      </w:r>
      <w:r w:rsidR="00405C64">
        <w:t xml:space="preserve"> </w:t>
      </w:r>
      <w:r w:rsidR="00FE29F2">
        <w:t>alters</w:t>
      </w:r>
      <w:r w:rsidR="00405C64" w:rsidRPr="00485EFF">
        <w:t xml:space="preserve"> translation reading frame maintenance</w:t>
      </w:r>
      <w:r w:rsidR="00405C64">
        <w:t xml:space="preserve"> </w:t>
      </w:r>
      <w:r w:rsidR="00405C64">
        <w:fldChar w:fldCharType="begin"/>
      </w:r>
      <w:r w:rsidR="00405C64">
        <w:instrText xml:space="preserve"> ADDIN ZOTERO_ITEM CSL_CITATION {"citationID":"7q2b0lEx","properties":{"formattedCitation":"(Lilleorg et al. 2020)","plainCitation":"(Lilleorg et al. 2020)","noteIndex":0},"citationItems":[{"id":226,"uris":["http://zotero.org/users/10474456/items/NLV96JKD"],"itemData":{"id":226,"type":"article-journal","abstract":"Ribosomes are essential macromolecular complexes conducting protein biosynthesis in all domains of life. Cells can have heterogeneous ribosomes, i.e. ribosomes with various ribosomal RNA and ribosomal protein (r-protein) composition. However, the functional importance of heterogeneous ribosomes has remained elusive. One of the possible sources for ribosome heterogeneity is provided by paralogous r-proteins. In E. coli, ribosomal protein bL31 has two paralogs: bL31A encoded by rpmE and bL31B encoded by ykgM. This study investigates phenotypic effects of these ribosomal protein paralogs using bacterial strains expressing only bL31A or bL31B. We show that bL31A confers higher fitness to E. coli under lower temperatures. In addition, bL31A and bL31B have different effects on translation reading frame maintenance and apparent translation processivity in vivo as demonstrated by dual luciferase assay. In general, this study demonstrates that ribosomal protein paralog composition (bL31A versus bL31B) can affect cell growth and translation outcome.","container-title":"Scientific Reports","DOI":"10.1038/s41598-020-68582-2","ISSN":"2045-2322","issue":"1","journalAbbreviation":"Sci Rep","language":"en","license":"2020 The Author(s)","note":"number: 1\npublisher: Nature Publishing Group","page":"11682","source":"www.nature.com","title":"Phenotypic effects of paralogous ribosomal proteins bL31A and bL31B in E. coli","volume":"10","author":[{"family":"Lilleorg","given":"Silva"},{"family":"Reier","given":"Kaspar"},{"family":"Volõnkin","given":"Pavel"},{"family":"Remme","given":"Jaanus"},{"family":"Liiv","given":"Aivar"}],"issued":{"date-parts":[["2020",7,15]]}}}],"schema":"https://github.com/citation-style-language/schema/raw/master/csl-citation.json"} </w:instrText>
      </w:r>
      <w:r w:rsidR="00405C64">
        <w:fldChar w:fldCharType="separate"/>
      </w:r>
      <w:r w:rsidR="00405C64" w:rsidRPr="00485EFF">
        <w:rPr>
          <w:rFonts w:cs="Arial"/>
        </w:rPr>
        <w:t>(Lilleorg et al. 2020)</w:t>
      </w:r>
      <w:r w:rsidR="00405C64">
        <w:fldChar w:fldCharType="end"/>
      </w:r>
      <w:r w:rsidR="00405C64">
        <w:t xml:space="preserve">. </w:t>
      </w:r>
      <w:r w:rsidR="00DE678E">
        <w:t xml:space="preserve">In </w:t>
      </w:r>
      <w:r w:rsidR="00405C64">
        <w:rPr>
          <w:i/>
          <w:iCs/>
        </w:rPr>
        <w:t>M</w:t>
      </w:r>
      <w:r w:rsidR="007C3AD4">
        <w:rPr>
          <w:i/>
          <w:iCs/>
        </w:rPr>
        <w:t>.</w:t>
      </w:r>
      <w:r w:rsidR="00405C64">
        <w:rPr>
          <w:i/>
          <w:iCs/>
        </w:rPr>
        <w:t xml:space="preserve"> tuberculosis</w:t>
      </w:r>
      <w:r w:rsidR="00DE678E">
        <w:t xml:space="preserve"> ribosomal switching </w:t>
      </w:r>
      <w:r w:rsidR="00FA1079">
        <w:t>of</w:t>
      </w:r>
      <w:r w:rsidR="00405C64">
        <w:t xml:space="preserve"> S18</w:t>
      </w:r>
      <w:r w:rsidR="00DE678E">
        <w:t xml:space="preserve"> paralogs </w:t>
      </w:r>
      <w:r w:rsidR="00FA1079">
        <w:t xml:space="preserve">may </w:t>
      </w:r>
      <w:r w:rsidR="00DE678E">
        <w:t xml:space="preserve">facilitate </w:t>
      </w:r>
      <w:r w:rsidR="00FA1079">
        <w:t>the transition from</w:t>
      </w:r>
      <w:r w:rsidR="00405C64">
        <w:t xml:space="preserve"> intracellular to extracellular </w:t>
      </w:r>
      <w:r w:rsidR="00FA1079">
        <w:t>environments</w:t>
      </w:r>
      <w:r w:rsidR="00AF49AF">
        <w:t xml:space="preserve">, wherein zinc concentrations are lower due to host immune responses. The production of a non-zinc coordinating homolog would necessarily allow translation to continue in these zinc-deplete </w:t>
      </w:r>
      <w:r w:rsidR="0038061C">
        <w:t>environments</w:t>
      </w:r>
      <w:r w:rsidR="00405C64">
        <w:t xml:space="preserve"> </w:t>
      </w:r>
      <w:r w:rsidR="00405C64">
        <w:fldChar w:fldCharType="begin"/>
      </w:r>
      <w:r w:rsidR="00405C64">
        <w:instrText xml:space="preserve"> ADDIN ZOTERO_ITEM CSL_CITATION {"citationID":"gw7ah9cs","properties":{"formattedCitation":"(Prisic et al. 2015)","plainCitation":"(Prisic et al. 2015)","noteIndex":0},"citationItems":[{"id":201,"uris":["http://zotero.org/users/10474456/items/RU7MNB2P"],"itemData":{"id":201,"type":"article-journal","abstract":"The Mycobacterium tuberculosis genome encodes five putative ‘alternative’ ribosomal proteins whose expression is repressed at high Zn2+ concentration. Each alternative protein has a primary homologue that is predicted to bind Zn2+. We hypothesized that zinc triggers a switch between these paired homologous proteins and therefore chose one of these pairs, S18-1/S18-2, to study mechanisms of the predicted competition for their incorporation into ribosomes. Our data show that Zn2+-depletion causes accumulation of both S18-2 mRNA and protein. In contrast, S18-1 mRNA levels are unchanged to slightly elevated under Zn2+-limited conditions. However, the amount of S18-1 protein is markedly decreased. We further demonstrate that both S18 proteins interact with ribosomal protein S6, a committed step in ribosome biogenesis. Zn2+ is absolutely required for the S18-1/S6 interaction while it is dispensable for S18-2/S6 dimer formation. These data suggest a model in which S18-1 is the dominant ribosome constituent in high zinc conditions, e.g. inside of phagosomes, but that it can be replaced by S18-2 when zinc is deficient, e.g. in the extracellular milieu. Consequently, Zn2+-depletion may serve as a signal for building alternative ribosomes when M. tuberculosis is released from macrophages, to allow survival in the extracellular environment.","container-title":"Molecular Microbiology","DOI":"10.1111/mmi.13022","ISSN":"1365-2958","issue":"2","language":"en","note":"_eprint: https://onlinelibrary.wiley.com/doi/pdf/10.1111/mmi.13022","page":"263-280","source":"Wiley Online Library","title":"Zinc regulates a switch between primary and alternative S18 ribosomal proteins in Mycobacterium tuberculosis","volume":"97","author":[{"family":"Prisic","given":"Sladjana"},{"family":"Hwang","given":"Hyonson"},{"family":"Dow","given":"Allexa"},{"family":"Barnaby","given":"Omar"},{"family":"Pan","given":"Tenny S."},{"family":"Lonzanida","given":"Jaymes A."},{"family":"Chazin","given":"Walter J."},{"family":"Steen","given":"Hanno"},{"family":"Husson","given":"Robert N."}],"issued":{"date-parts":[["2015"]]}}}],"schema":"https://github.com/citation-style-language/schema/raw/master/csl-citation.json"} </w:instrText>
      </w:r>
      <w:r w:rsidR="00405C64">
        <w:fldChar w:fldCharType="separate"/>
      </w:r>
      <w:r w:rsidR="00405C64" w:rsidRPr="00A16CE7">
        <w:rPr>
          <w:rFonts w:cs="Arial"/>
        </w:rPr>
        <w:t>(Prisic et al. 2015)</w:t>
      </w:r>
      <w:r w:rsidR="00405C64">
        <w:fldChar w:fldCharType="end"/>
      </w:r>
      <w:r w:rsidR="00405C64">
        <w:t xml:space="preserve">. </w:t>
      </w:r>
      <w:r w:rsidR="00AF49AF">
        <w:t xml:space="preserve">Further, in </w:t>
      </w:r>
      <w:r w:rsidR="00AF49AF">
        <w:rPr>
          <w:i/>
          <w:iCs/>
        </w:rPr>
        <w:t>M</w:t>
      </w:r>
      <w:r w:rsidR="007C3AD4">
        <w:rPr>
          <w:i/>
          <w:iCs/>
        </w:rPr>
        <w:t>.</w:t>
      </w:r>
      <w:r w:rsidR="00AF49AF">
        <w:rPr>
          <w:i/>
          <w:iCs/>
        </w:rPr>
        <w:t xml:space="preserve"> smegmatis</w:t>
      </w:r>
      <w:r w:rsidR="00AF49AF">
        <w:t>, alternat</w:t>
      </w:r>
      <w:r w:rsidR="007C3AD4">
        <w:t>iv</w:t>
      </w:r>
      <w:r w:rsidR="00AF49AF">
        <w:t xml:space="preserve">e ribosomes </w:t>
      </w:r>
      <w:r w:rsidR="008B5515">
        <w:t>have altered translation activity</w:t>
      </w:r>
      <w:r w:rsidR="00AF49AF">
        <w:t xml:space="preserve">, leading to the possibility </w:t>
      </w:r>
      <w:r w:rsidR="008B5515">
        <w:t>that</w:t>
      </w:r>
      <w:r w:rsidR="00AF49AF">
        <w:t xml:space="preserve"> alternative ribosomes </w:t>
      </w:r>
      <w:r w:rsidR="008B5515">
        <w:t xml:space="preserve">regulate </w:t>
      </w:r>
      <w:r w:rsidR="00AF49AF">
        <w:t>proteome</w:t>
      </w:r>
      <w:r w:rsidR="008B5515">
        <w:t xml:space="preserve"> composition</w:t>
      </w:r>
      <w:r w:rsidR="00AF49AF">
        <w:t xml:space="preserve"> </w:t>
      </w:r>
      <w:r w:rsidR="0038061C">
        <w:fldChar w:fldCharType="begin"/>
      </w:r>
      <w:r w:rsidR="0038061C">
        <w:instrText xml:space="preserve"> ADDIN ZOTERO_ITEM CSL_CITATION {"citationID":"LV5IxlU3","properties":{"formattedCitation":"(Chen et al. 2020)","plainCitation":"(Chen et al. 2020)","noteIndex":0},"citationItems":[{"id":222,"uris":["http://zotero.org/users/10474456/items/6X6C49VU"],"itemData":{"id":222,"type":"article-journal","abstract":"Alternative ribosome subunit proteins are prevalent in the genomes of diverse bacterial species, but their functional significance is controversial. Attempts to study microbial ribosomal heterogeneity have mostly relied on comparing wild-type strains with mutants in which subunits have been deleted, but this approach does not allow direct comparison of alternate ribosome isoforms isolated from identical cellular contexts. Here, by simultaneously purifying canonical and alternative RpsR ribosomes from Mycobacterium smegmatis, we show that alternative ribosomes have distinct translational features compared with their canonical counterparts. Both alternative and canonical ribosomes actively take part in protein synthesis, although they translate a subset of genes with differential efficiency as measured by ribosome profiling. We also show that alternative ribosomes have a relative defect in initiation complex formation. Furthermore, a strain of M. smegmatis in which the alternative ribosome protein operon is deleted grows poorly in iron-depleted medium, uncovering a role for alternative ribosomes in iron homeostasis. Our work confirms the distinct and nonredundant contribution of alternative bacterial ribosomes for adaptation to hostile environments.","container-title":"Proceedings of the National Academy of Sciences","DOI":"10.1073/pnas.2009607117","issue":"32","note":"publisher: Proceedings of the National Academy of Sciences","page":"19487-19496","source":"pnas.org (Atypon)","title":"Selective translation by alternative bacterial ribosomes","volume":"117","author":[{"family":"Chen","given":"Yu-Xiang"},{"family":"Xu","given":"Zhi-yu"},{"family":"Ge","given":"Xueliang"},{"family":"Hong","given":"Jia-Yao"},{"family":"Sanyal","given":"Suparna"},{"family":"Lu","given":"Zhi John"},{"family":"Javid","given":"Babak"}],"issued":{"date-parts":[["2020",8,11]]}}}],"schema":"https://github.com/citation-style-language/schema/raw/master/csl-citation.json"} </w:instrText>
      </w:r>
      <w:r w:rsidR="0038061C">
        <w:fldChar w:fldCharType="separate"/>
      </w:r>
      <w:r w:rsidR="0038061C" w:rsidRPr="0038061C">
        <w:rPr>
          <w:rFonts w:cs="Arial"/>
        </w:rPr>
        <w:t>(Chen et al. 2020)</w:t>
      </w:r>
      <w:r w:rsidR="0038061C">
        <w:fldChar w:fldCharType="end"/>
      </w:r>
      <w:r w:rsidR="00AF49AF">
        <w:t>.</w:t>
      </w:r>
    </w:p>
    <w:p w14:paraId="78466BD2" w14:textId="1E246180" w:rsidR="00715875" w:rsidRPr="00715875" w:rsidRDefault="00715875" w:rsidP="00715875">
      <w:pPr>
        <w:spacing w:line="480" w:lineRule="auto"/>
        <w:rPr>
          <w:i/>
          <w:iCs/>
        </w:rPr>
      </w:pPr>
      <w:r>
        <w:rPr>
          <w:i/>
          <w:iCs/>
        </w:rPr>
        <w:t>Specialized ribosomes</w:t>
      </w:r>
    </w:p>
    <w:p w14:paraId="28E512DE" w14:textId="24216D45" w:rsidR="004846B7" w:rsidRPr="00A16CE7" w:rsidRDefault="004846B7" w:rsidP="00B43E01">
      <w:pPr>
        <w:spacing w:line="480" w:lineRule="auto"/>
        <w:ind w:firstLine="450"/>
        <w:jc w:val="both"/>
      </w:pPr>
      <w:r>
        <w:t xml:space="preserve">The presence of </w:t>
      </w:r>
      <w:r w:rsidRPr="00671685">
        <w:t xml:space="preserve">ribosome heterogeneity raises the possibility </w:t>
      </w:r>
      <w:r w:rsidR="007C3AD4">
        <w:t>that</w:t>
      </w:r>
      <w:r w:rsidRPr="00671685">
        <w:t xml:space="preserve"> </w:t>
      </w:r>
      <w:r>
        <w:t xml:space="preserve">ribosomes with different compositions </w:t>
      </w:r>
      <w:r w:rsidR="00755A4F">
        <w:t xml:space="preserve">have altered </w:t>
      </w:r>
      <w:r w:rsidR="00715875">
        <w:t>function</w:t>
      </w:r>
      <w:r w:rsidR="00FE29F2">
        <w:t>. R</w:t>
      </w:r>
      <w:r w:rsidR="00755A4F">
        <w:t xml:space="preserve">ibosomes with altered </w:t>
      </w:r>
      <w:r w:rsidR="00FE29F2">
        <w:t>composition and function</w:t>
      </w:r>
      <w:r w:rsidR="00755A4F">
        <w:t xml:space="preserve"> are </w:t>
      </w:r>
      <w:r>
        <w:t xml:space="preserve">referred to as </w:t>
      </w:r>
      <w:r w:rsidR="00755A4F">
        <w:t>“</w:t>
      </w:r>
      <w:r w:rsidRPr="00671685">
        <w:t>specialized ribosomes.</w:t>
      </w:r>
      <w:r w:rsidR="00755A4F">
        <w:t>”</w:t>
      </w:r>
      <w:r w:rsidRPr="00671685">
        <w:t xml:space="preserve"> </w:t>
      </w:r>
      <w:r>
        <w:t>I</w:t>
      </w:r>
      <w:r w:rsidR="00755A4F">
        <w:t xml:space="preserve">t </w:t>
      </w:r>
      <w:r w:rsidR="00755A4F">
        <w:lastRenderedPageBreak/>
        <w:t>is proposed that specialized</w:t>
      </w:r>
      <w:r w:rsidRPr="00671685">
        <w:t xml:space="preserve"> ribosomes </w:t>
      </w:r>
      <w:r>
        <w:t>may</w:t>
      </w:r>
      <w:r w:rsidRPr="00671685">
        <w:t xml:space="preserve"> function as regulators of gene expression </w:t>
      </w:r>
      <w:r w:rsidRPr="00671685">
        <w:fldChar w:fldCharType="begin"/>
      </w:r>
      <w:r w:rsidRPr="00671685">
        <w:instrText xml:space="preserve"> ADDIN ZOTERO_ITEM CSL_CITATION {"citationID":"VkEs0YVJ","properties":{"formattedCitation":"(Byrgazov et al. 2013)","plainCitation":"(Byrgazov et al. 2013)","noteIndex":0},"citationItems":[{"id":111,"uris":["http://zotero.org/users/10474456/items/LMGSPG6D"],"itemData":{"id":111,"type":"article-journal","abstract":"Translation of the mRNA-encoded genetic information into proteins is catalyzed by the intricate ribonucleoprotein machine, the ribosome. Historically, the bacterial ribosome is viewed as an unchangeable entity, constantly equipped with the entire complement of RNAs and proteins. Conversely, several lines of evidence indicate the presence of functional selective ribosomal subpopulations that exhibit variations in the RNA or the protein components and modulate the translational program in response to environmental changes. Here, we summarize these findings, which raise the functional status of the ribosome from a protein synthesis machinery only to a regulatory hub that integrates environmental cues in the process of protein synthesis, thereby adding an additional level of complexity to the regulation of gene expression.","container-title":"Current Opinion in Microbiology","DOI":"10.1016/j.mib.2013.01.009","issue":"2","language":"en","page":"133-139","title":"Ribosome heterogeneity: another level of complexity in bacterial translation regulation","title-short":"Ribosome heterogeneity","volume":"16","author":[{"family":"Byrgazov","given":"Konstantin"},{"family":"Vesper","given":"Oliver"},{"family":"Moll","given":"Isabella"}],"issued":{"date-parts":[["2013",4]]}}}],"schema":"https://github.com/citation-style-language/schema/raw/master/csl-citation.json"} </w:instrText>
      </w:r>
      <w:r w:rsidRPr="00671685">
        <w:fldChar w:fldCharType="separate"/>
      </w:r>
      <w:r w:rsidRPr="00671685">
        <w:rPr>
          <w:rFonts w:cs="Arial"/>
        </w:rPr>
        <w:t>(Byrgazov et al. 2013)</w:t>
      </w:r>
      <w:r w:rsidRPr="00671685">
        <w:fldChar w:fldCharType="end"/>
      </w:r>
      <w:r w:rsidRPr="00671685">
        <w:t xml:space="preserve">. </w:t>
      </w:r>
    </w:p>
    <w:p w14:paraId="1902D8C2" w14:textId="32BE62C1" w:rsidR="00A43BB9" w:rsidRPr="005028D6" w:rsidRDefault="00A43BB9" w:rsidP="005028D6">
      <w:pPr>
        <w:spacing w:before="240" w:line="480" w:lineRule="auto"/>
        <w:rPr>
          <w:b/>
          <w:bCs/>
        </w:rPr>
      </w:pPr>
      <w:r w:rsidRPr="005028D6">
        <w:rPr>
          <w:b/>
          <w:bCs/>
        </w:rPr>
        <w:t>bS21 leads to ribosomal heterogeneity</w:t>
      </w:r>
      <w:r w:rsidR="00FE51E8" w:rsidRPr="005028D6">
        <w:rPr>
          <w:b/>
          <w:bCs/>
        </w:rPr>
        <w:t xml:space="preserve"> in </w:t>
      </w:r>
      <w:r w:rsidR="00FE51E8" w:rsidRPr="005028D6">
        <w:rPr>
          <w:b/>
          <w:bCs/>
          <w:i/>
          <w:iCs/>
        </w:rPr>
        <w:t>F. tularensis</w:t>
      </w:r>
      <w:r w:rsidRPr="005028D6">
        <w:rPr>
          <w:b/>
          <w:bCs/>
          <w:i/>
          <w:iCs/>
        </w:rPr>
        <w:t>.</w:t>
      </w:r>
    </w:p>
    <w:p w14:paraId="47CA1F70" w14:textId="65BDAF59" w:rsidR="00FE51E8" w:rsidRPr="00FE51E8" w:rsidRDefault="00501835" w:rsidP="00FE51E8">
      <w:pPr>
        <w:spacing w:line="480" w:lineRule="auto"/>
        <w:rPr>
          <w:i/>
          <w:iCs/>
        </w:rPr>
      </w:pPr>
      <w:r>
        <w:rPr>
          <w:i/>
          <w:iCs/>
        </w:rPr>
        <w:t xml:space="preserve">The ribosomal protein </w:t>
      </w:r>
      <w:r w:rsidR="00FE51E8" w:rsidRPr="00FE51E8">
        <w:rPr>
          <w:i/>
          <w:iCs/>
        </w:rPr>
        <w:t>bS21</w:t>
      </w:r>
    </w:p>
    <w:p w14:paraId="66EAD257" w14:textId="123D399C" w:rsidR="00F40739" w:rsidRDefault="00B05031" w:rsidP="00501973">
      <w:pPr>
        <w:spacing w:line="480" w:lineRule="auto"/>
        <w:ind w:firstLine="450"/>
        <w:jc w:val="both"/>
      </w:pPr>
      <w:r>
        <w:t>bS21 is a small subunit ribosomal protein</w:t>
      </w:r>
      <w:r w:rsidR="00F40739">
        <w:t xml:space="preserve"> encoded by the gene </w:t>
      </w:r>
      <w:r w:rsidR="00F40739">
        <w:rPr>
          <w:i/>
          <w:iCs/>
        </w:rPr>
        <w:t>rpsU</w:t>
      </w:r>
      <w:r w:rsidR="00F40739">
        <w:t xml:space="preserve">. </w:t>
      </w:r>
      <w:r w:rsidR="00F40739">
        <w:rPr>
          <w:i/>
          <w:iCs/>
        </w:rPr>
        <w:t xml:space="preserve">rpsU </w:t>
      </w:r>
      <w:r w:rsidR="00F40739">
        <w:t xml:space="preserve">is often, though not always, encoded on the so-called macromolecular synthesis (MMS) operon. </w:t>
      </w:r>
      <w:r w:rsidR="004234FD">
        <w:t xml:space="preserve">This operon is conserved across diverse species, </w:t>
      </w:r>
      <w:r w:rsidR="00501835">
        <w:t>including</w:t>
      </w:r>
      <w:r w:rsidR="00CD605B">
        <w:t xml:space="preserve"> many </w:t>
      </w:r>
      <w:r w:rsidR="004234FD">
        <w:t xml:space="preserve">Gram-negative species </w:t>
      </w:r>
      <w:r w:rsidR="004234FD">
        <w:fldChar w:fldCharType="begin"/>
      </w:r>
      <w:r w:rsidR="004234FD">
        <w:instrText xml:space="preserve"> ADDIN ZOTERO_ITEM CSL_CITATION {"citationID":"BWMwxpFt","properties":{"formattedCitation":"(Versalovic et al. 1993)","plainCitation":"(Versalovic et al. 1993)","noteIndex":0},"citationItems":[{"id":173,"uris":["http://zotero.org/users/10474456/items/XZ7E55VG"],"itemData":{"id":173,"type":"article-journal","abstract":"The macromolecular synthesis (MMS) operon contains three essential genes (rpsU, dnaG, rpoD) whose products (S21, primase, sigma-70) are necessary for the initiation of protein, DNA, and RNA synthesis respectively. PCR amplifications with primers complementary to conserved regions within these three genes, and subsequent DNA sequencing of rpsU—dnaG PCR products, demonstrate that the three genes appear to be contiguous in 11 different Gram-negative species. Within the Gram-negative enteric bacterial lineage, the S21 amino acid sequence is absolutely conserved in 10 species examined. The putative nuteq antiterminator sequence in rpsU consists of two motifs, boxA and boxB, conserved in primary sequence and secondary structure. The terminator sequence, Ti, located between rpsU and dnaG is conserved at 31 positions in nine enterobacterial species, suggesting the importance of primary sequence in addition to secondary structure for transcription termination. The intergenic region between rpsU and dnaG varies in size owing to the presence or absence of the Enterobacterial Repetitive Intergenic Consensus (ERIC) DNA element. The rpoD gene contains rearrangements involving a divergent sequence, although two carboxy-terminal regions which encode functional domains are conserved in primary sequence and spacing. Our data suggest that primary sequence divergence and DNA rearrangements in both coding and non-coding sequences account for the interspecies variation in operon structure. However, MMS operon gene organization and cis-acting regulatory sequences appear to be conserved in diverse bacteria.","container-title":"Molecular Microbiology","DOI":"10.1111/j.1365-2958.1993.tb01578.x","ISSN":"1365-2958","issue":"2","language":"en","note":"_eprint: https://onlinelibrary.wiley.com/doi/pdf/10.1111/j.1365-2958.1993.tb01578.x","page":"343-355","source":"Wiley Online Library","title":"Conservation and evolution of the rpsU-dnaG-rpoD macromolecular synthesis operon in bacteria","volume":"8","author":[{"family":"Versalovic","given":"James"},{"family":"Koeuth","given":"Thearith"},{"family":"Britton","given":"Robert"},{"family":"Geszvain","given":"Kati"},{"family":"Lupski","given":"James R."}],"issued":{"date-parts":[["1993"]]}}}],"schema":"https://github.com/citation-style-language/schema/raw/master/csl-citation.json"} </w:instrText>
      </w:r>
      <w:r w:rsidR="004234FD">
        <w:fldChar w:fldCharType="separate"/>
      </w:r>
      <w:r w:rsidR="004234FD" w:rsidRPr="004234FD">
        <w:rPr>
          <w:rFonts w:cs="Arial"/>
        </w:rPr>
        <w:t>(Versalovic et al. 1993)</w:t>
      </w:r>
      <w:r w:rsidR="004234FD">
        <w:fldChar w:fldCharType="end"/>
      </w:r>
      <w:r w:rsidR="004234FD">
        <w:t xml:space="preserve">. </w:t>
      </w:r>
      <w:r w:rsidR="00501835">
        <w:t xml:space="preserve">The MMS </w:t>
      </w:r>
      <w:r w:rsidR="00F40739">
        <w:t xml:space="preserve">operon is typically structured as </w:t>
      </w:r>
      <w:r w:rsidR="00F40739">
        <w:rPr>
          <w:i/>
          <w:iCs/>
        </w:rPr>
        <w:t>rpsU-dnaG-rpoD</w:t>
      </w:r>
      <w:r w:rsidR="00F40739">
        <w:t>.</w:t>
      </w:r>
      <w:r w:rsidR="00EB745D">
        <w:t xml:space="preserve"> The </w:t>
      </w:r>
      <w:r w:rsidR="00EB745D">
        <w:rPr>
          <w:i/>
          <w:iCs/>
        </w:rPr>
        <w:t xml:space="preserve">rpsU </w:t>
      </w:r>
      <w:r w:rsidR="00EB745D">
        <w:t>gene encodes bS21</w:t>
      </w:r>
      <w:r w:rsidR="002A7F3D">
        <w:t>,</w:t>
      </w:r>
      <w:r w:rsidR="00EB745D">
        <w:t xml:space="preserve"> which </w:t>
      </w:r>
      <w:r w:rsidR="002A7F3D">
        <w:t xml:space="preserve">has been </w:t>
      </w:r>
      <w:r w:rsidR="00EB745D">
        <w:t xml:space="preserve">implicated in </w:t>
      </w:r>
      <w:r w:rsidR="002A7F3D">
        <w:t xml:space="preserve">translation </w:t>
      </w:r>
      <w:r w:rsidR="00EB745D">
        <w:t xml:space="preserve">initiation </w:t>
      </w:r>
      <w:r w:rsidR="00EB745D">
        <w:fldChar w:fldCharType="begin"/>
      </w:r>
      <w:r w:rsidR="004D1A81">
        <w:instrText xml:space="preserve"> ADDIN ZOTERO_ITEM CSL_CITATION {"citationID":"LIajpot2","properties":{"formattedCitation":"(Chang and Craven 1977; Van Duin and Robert 1981)","plainCitation":"(Chang and Craven 1977; Van Duin and Robert 1981)","noteIndex":0},"citationItems":[{"id":144,"uris":["http://zotero.org/users/10474456/items/MZ4UEKMY"],"itemData":{"id":144,"type":"article-journal","abstract":"Chemical modification of unwashed 30 S ribosomal subunits with 2-methoxy-5-nitrotropone causes a rapid loss of their capacity to bind bacteriophage Qβ RNA. Reconstitution experiments show that ribosomal protein is the functionally inactivated species. When purified unmodified ribosomal proteins were included in a mixture of 16 S ribosomal RNA and total protein derived from 2-methoxy-5-nitrotropone-treated subunits, four proteins (S1, S12, S13 and S21) were found to promote the reconstitution of particles capable of binding natural messenger RNA.","container-title":"Journal of Molecular Biology","DOI":"10.1016/0022-2836(77)90135-8","ISSN":"0022-2836","issue":"2","journalAbbreviation":"Journal of Molecular Biology","language":"en","page":"401-418","source":"ScienceDirect","title":"Identification of several proteins involved in the messenger RNA binding site of the 30 S ribosome by inactivation with 2-methoxy-5-nitrotropone","volume":"117","author":[{"family":"Chang","given":"Chu"},{"family":"Craven","given":"Gary R."}],"issued":{"date-parts":[["1977",12,5]]}}},{"id":138,"uris":["http://zotero.org/users/10474456/items/X9LRZP5G"],"itemData":{"id":138,"type":"article-journal","abstract":"The function of ribosomal protein S21 in protein synthesis has been examined by (a) inactivation of S21 in situ with specific antibodies and (b) the use of 30-S subunits reconstituted in the absence of S21. The results from the two approaches are consistent. 30-S subunits treated with anti-S21 or lacking S21 are still active in the translation of poly(U) or poly(A,G,U). They are also functional in fMet-tRNA binding when directed by poly(A,G,U) or the AUG triplet. They are not active in the translation of MS2 RNA or Escherichia coli mRNA. The defect of S21-deficient 30-S ribosomes can be traced back to their inability to bind MS2 RNA at the initiation step of protein synthesis. Addition of S21 to S21-deprived subunits restores the MS2-RNA-dependent initiation complex formation.","container-title":"European Journal of Biochemistry","DOI":"10.1111/j.1432-1033.1981.tb05563.x","ISSN":"1432-1033","issue":"3","language":"en","note":"_eprint: https://onlinelibrary.wiley.com/doi/pdf/10.1111/j.1432-1033.1981.tb05563.x","page":"615-619","source":"Wiley Online Library","title":"The Function of Ribosomal Protein S21 in Protein Synthesis","volume":"118","author":[{"family":"Van Duin","given":"Jan"},{"family":"Robert","given":"Wijnands"}],"issued":{"date-parts":[["1981"]]}}}],"schema":"https://github.com/citation-style-language/schema/raw/master/csl-citation.json"} </w:instrText>
      </w:r>
      <w:r w:rsidR="00EB745D">
        <w:fldChar w:fldCharType="separate"/>
      </w:r>
      <w:r w:rsidR="004D1A81" w:rsidRPr="004D1A81">
        <w:rPr>
          <w:rFonts w:cs="Arial"/>
        </w:rPr>
        <w:t>(Chang and Craven 1977; Van Duin and Robert 1981)</w:t>
      </w:r>
      <w:r w:rsidR="00EB745D">
        <w:fldChar w:fldCharType="end"/>
      </w:r>
      <w:r w:rsidR="00EB745D">
        <w:t xml:space="preserve">. The </w:t>
      </w:r>
      <w:r w:rsidR="00EB745D">
        <w:rPr>
          <w:i/>
          <w:iCs/>
        </w:rPr>
        <w:t xml:space="preserve">dnaG </w:t>
      </w:r>
      <w:r w:rsidR="00EB745D" w:rsidRPr="00256073">
        <w:t>gene</w:t>
      </w:r>
      <w:r w:rsidR="00EB745D">
        <w:t xml:space="preserve"> encodes DNA primase, which is critical for initiation of DNA replication </w:t>
      </w:r>
      <w:r w:rsidR="00EB745D">
        <w:fldChar w:fldCharType="begin"/>
      </w:r>
      <w:r w:rsidR="00EB745D">
        <w:instrText xml:space="preserve"> ADDIN ZOTERO_ITEM CSL_CITATION {"citationID":"cva233vw","properties":{"formattedCitation":"(Rowen and Kornberg 1978)","plainCitation":"(Rowen and Kornberg 1978)","noteIndex":0},"citationItems":[{"id":331,"uris":["http://zotero.org/users/10474456/items/N26UNQ7C"],"itemData":{"id":331,"type":"article-journal","abstract":"Conversion of the viral DNA of phage G4 to the duplex form provided an opportunity to isolate and determine the function of the dnaG protein, the product of a gene known to be essential for replication of the Escherichia coli chromosome. This stage of G4 DNA replication requires action of three proteins: the E. coli DNA-binding protein, the dnaG protein, and the DNA polymerase III holoenzyme. The dnaG protein has been purified approximately 25,000-fold to near-homogeneity. The native protein contains a single polypeptide of 60,000 daltons. It has been assayed for its activity on G4 DNA in three ways: (a) RNA synthesis, (b) complementation for replication of an extract of a temperature-sensitive dnaG mutant, and (c) priming of DNA replication by DNA polymerase III holoenzyme. The dnaG protein is highly specific for G4 DNA and synthesizes a unique 29-residue RNA primer to be described in the suceeding paper. Other single-stranded and duplex DNA templates are inactive. RNA primer synthesis by the dnaG protein has an apparent Km for ribonucleoside triphosphates near 10 micrometer, and a narrow optimum for Mg2+. The sharp specificity of the dnaG protein in choice of template and the utilization of either deoxyribonucleotides or ribonucleotides to produce a hybrid piece only a few residues long (as described in a succeeding paper) suggests that the dnaG protein previously named RNA polymerase by renamed primase.","container-title":"Journal of Biological Chemistry","DOI":"10.1016/S0021-9258(17)38167-X","ISSN":"0021-9258","issue":"3","journalAbbreviation":"Journal of Biological Chemistry","language":"en","page":"758-764","source":"ScienceDirect","title":"Primase, the dnaG protein of Escherichia coli. An enzyme which starts DNA chains.","volume":"253","author":[{"family":"Rowen","given":"L."},{"family":"Kornberg","given":"A."}],"issued":{"date-parts":[["1978",2,10]]}}}],"schema":"https://github.com/citation-style-language/schema/raw/master/csl-citation.json"} </w:instrText>
      </w:r>
      <w:r w:rsidR="00EB745D">
        <w:fldChar w:fldCharType="separate"/>
      </w:r>
      <w:r w:rsidR="00EB745D" w:rsidRPr="004234FD">
        <w:rPr>
          <w:rFonts w:cs="Arial"/>
        </w:rPr>
        <w:t>(Rowen and Kornberg 1978)</w:t>
      </w:r>
      <w:r w:rsidR="00EB745D">
        <w:fldChar w:fldCharType="end"/>
      </w:r>
      <w:r w:rsidR="00EB745D">
        <w:t xml:space="preserve">. </w:t>
      </w:r>
      <w:r w:rsidR="00F40739">
        <w:t xml:space="preserve"> </w:t>
      </w:r>
      <w:r w:rsidR="009B38FE">
        <w:t xml:space="preserve">The </w:t>
      </w:r>
      <w:r w:rsidR="009B38FE">
        <w:rPr>
          <w:i/>
          <w:iCs/>
        </w:rPr>
        <w:t>r</w:t>
      </w:r>
      <w:r w:rsidR="00F40739">
        <w:rPr>
          <w:i/>
          <w:iCs/>
        </w:rPr>
        <w:t xml:space="preserve">poD </w:t>
      </w:r>
      <w:r w:rsidR="009B38FE" w:rsidRPr="00256073">
        <w:t>gene</w:t>
      </w:r>
      <w:r w:rsidR="009B38FE">
        <w:rPr>
          <w:i/>
          <w:iCs/>
        </w:rPr>
        <w:t xml:space="preserve"> </w:t>
      </w:r>
      <w:r w:rsidR="00F40739">
        <w:t>encod</w:t>
      </w:r>
      <w:r w:rsidR="009B38FE">
        <w:t xml:space="preserve">es </w:t>
      </w:r>
      <w:r w:rsidR="00201D98" w:rsidRPr="00201D98">
        <w:t>σ</w:t>
      </w:r>
      <w:r w:rsidR="00F40739" w:rsidRPr="00201D98">
        <w:rPr>
          <w:vertAlign w:val="superscript"/>
        </w:rPr>
        <w:t>70</w:t>
      </w:r>
      <w:r w:rsidR="009B38FE">
        <w:t>, which</w:t>
      </w:r>
      <w:r w:rsidR="00F40739">
        <w:t xml:space="preserve"> is the primary sigma factor </w:t>
      </w:r>
      <w:r w:rsidR="009B38FE">
        <w:t xml:space="preserve">responsible </w:t>
      </w:r>
      <w:r w:rsidR="00F40739">
        <w:t xml:space="preserve">for transcription of many housekeeping genes </w:t>
      </w:r>
      <w:r w:rsidR="00F40739">
        <w:fldChar w:fldCharType="begin"/>
      </w:r>
      <w:r w:rsidR="00F40739">
        <w:instrText xml:space="preserve"> ADDIN ZOTERO_ITEM CSL_CITATION {"citationID":"EMYgLf4c","properties":{"formattedCitation":"(Miura et al. 2015)","plainCitation":"(Miura et al. 2015)","noteIndex":0},"citationItems":[{"id":328,"uris":["http://zotero.org/users/10474456/items/Q9W2T77B"],"itemData":{"id":328,"type":"article-journal","abstract":"Phytoplasmas (class, Mollicutes) are insect-transmissible and plant-pathogenic bacteria that multiply intracellularly in both plants and insects through host switching. Our previous study revealed that phytoplasmal sigma factor rpoD of OY-M strain (rpoDOY) could be a key regulator of host switching, because the expression level of rpoDOY was higher in insect hosts than in plant hosts. In this study, we developed an in vitro transcription assay system to identify RpoDOY-dependent genes and the consensus promoter elements. The assay revealed that RpoDOY regulated some housekeeping, virulence, and host–phytoplasma interaction genes of OY-M strain. The upstream region of the transcription start sites of these genes contained conserved –35 and –10 promoter sequences, which were similar to the typical bacterial RpoD-dependent promoter elements, while the –35 promoter elements were variable. In addition, we searched putative RpoD-dependent genes based on these promoter elements on the whole genome sequence of phytoplasmas using in silico tools. The phytoplasmal RpoD seems to mediate the transcription of not only many housekeeping genes as the principal sigma factor, but also the virulence- and host-phytoplasma interaction-related genes exhibiting host-specific expression patterns. These results indicate that more complex mechanisms exist than previously thought regarding gene regulation enabling phytoplasmas to switch hosts.","container-title":"Scientific Reports","DOI":"10.1038/srep11893","ISSN":"2045-2322","journalAbbreviation":"Sci Rep","note":"PMID: 26150080\nPMCID: PMC4493692","page":"11893","source":"PubMed Central","title":"Functional characterization of the principal sigma factor RpoD of phytoplasmas via an in vitro transcription assay","volume":"5","author":[{"family":"Miura","given":"Chihiro"},{"family":"Komatsu","given":"Ken"},{"family":"Maejima","given":"Kensaku"},{"family":"Nijo","given":"Takamichi"},{"family":"Kitazawa","given":"Yugo"},{"family":"Tomomitsu","given":"Tatsuya"},{"family":"Yusa","given":"Akira"},{"family":"Himeno","given":"Misako"},{"family":"Oshima","given":"Kenro"},{"family":"Namba","given":"Shigetou"}],"issued":{"date-parts":[["2015",7,7]]}}}],"schema":"https://github.com/citation-style-language/schema/raw/master/csl-citation.json"} </w:instrText>
      </w:r>
      <w:r w:rsidR="00F40739">
        <w:fldChar w:fldCharType="separate"/>
      </w:r>
      <w:r w:rsidR="00F40739" w:rsidRPr="00F40739">
        <w:rPr>
          <w:rFonts w:cs="Arial"/>
        </w:rPr>
        <w:t>(Miura et al. 2015)</w:t>
      </w:r>
      <w:r w:rsidR="00F40739">
        <w:fldChar w:fldCharType="end"/>
      </w:r>
      <w:r w:rsidR="00F40739">
        <w:t xml:space="preserve">. </w:t>
      </w:r>
      <w:r w:rsidR="004D1A81">
        <w:t>Importantly, each of these three genes is important for the initiation of different steps of macromolecular synthesis, thus leading to the common name of the operon.</w:t>
      </w:r>
    </w:p>
    <w:p w14:paraId="2FAFE824" w14:textId="5AE4C408" w:rsidR="00B05031" w:rsidRDefault="004D1A81" w:rsidP="00501973">
      <w:pPr>
        <w:spacing w:line="480" w:lineRule="auto"/>
        <w:ind w:firstLine="450"/>
        <w:jc w:val="both"/>
      </w:pPr>
      <w:r>
        <w:t xml:space="preserve">As indicated, </w:t>
      </w:r>
      <w:r w:rsidR="00F40739">
        <w:t>bS21</w:t>
      </w:r>
      <w:r w:rsidR="00B05031">
        <w:t xml:space="preserve"> has been implicated in translation initiation. Specifically, one study deactivated mRNA binding activity in the ribosome </w:t>
      </w:r>
      <w:r w:rsidR="00201D98">
        <w:t xml:space="preserve">by </w:t>
      </w:r>
      <w:r w:rsidR="00B607B2">
        <w:t>inducing</w:t>
      </w:r>
      <w:r w:rsidR="00201D98">
        <w:t xml:space="preserve"> ribosomal protein damage, preventing mRNA binding. By adding back undamaged proteins, the </w:t>
      </w:r>
      <w:r w:rsidR="002A7F3D">
        <w:t>researchers</w:t>
      </w:r>
      <w:r w:rsidR="00B05031">
        <w:t xml:space="preserve"> determined that bS21 was one of the proteins required to allow the ribosome to bind </w:t>
      </w:r>
      <w:r w:rsidR="007655F4">
        <w:t>Q</w:t>
      </w:r>
      <w:r w:rsidR="007655F4" w:rsidRPr="007655F4">
        <w:rPr>
          <w:rFonts w:cs="Arial"/>
          <w:i/>
          <w:iCs/>
        </w:rPr>
        <w:t>β</w:t>
      </w:r>
      <w:r w:rsidR="007655F4">
        <w:t xml:space="preserve"> </w:t>
      </w:r>
      <w:r w:rsidR="00B05031">
        <w:t>mRNA again</w:t>
      </w:r>
      <w:r w:rsidR="007C3AD4">
        <w:t xml:space="preserve">. This </w:t>
      </w:r>
      <w:r>
        <w:t>indicated that it, along with some other proteins, were critical in the initiation of translation</w:t>
      </w:r>
      <w:r w:rsidR="00B05031">
        <w:t xml:space="preserve"> </w:t>
      </w:r>
      <w:r w:rsidR="00B05031">
        <w:fldChar w:fldCharType="begin"/>
      </w:r>
      <w:r w:rsidR="00B05031">
        <w:instrText xml:space="preserve"> ADDIN ZOTERO_ITEM CSL_CITATION {"citationID":"EpI4ktl9","properties":{"formattedCitation":"(Chang and Craven 1977)","plainCitation":"(Chang and Craven 1977)","noteIndex":0},"citationItems":[{"id":144,"uris":["http://zotero.org/users/10474456/items/MZ4UEKMY"],"itemData":{"id":144,"type":"article-journal","abstract":"Chemical modification of unwashed 30 S ribosomal subunits with 2-methoxy-5-nitrotropone causes a rapid loss of their capacity to bind bacteriophage Qβ RNA. Reconstitution experiments show that ribosomal protein is the functionally inactivated species. When purified unmodified ribosomal proteins were included in a mixture of 16 S ribosomal RNA and total protein derived from 2-methoxy-5-nitrotropone-treated subunits, four proteins (S1, S12, S13 and S21) were found to promote the reconstitution of particles capable of binding natural messenger RNA.","container-title":"Journal of Molecular Biology","DOI":"10.1016/0022-2836(77)90135-8","ISSN":"0022-2836","issue":"2","journalAbbreviation":"Journal of Molecular Biology","language":"en","page":"401-418","source":"ScienceDirect","title":"Identification of several proteins involved in the messenger RNA binding site of the 30 S ribosome by inactivation with 2-methoxy-5-nitrotropone","volume":"117","author":[{"family":"Chang","given":"Chu"},{"family":"Craven","given":"Gary R."}],"issued":{"date-parts":[["1977",12,5]]}}}],"schema":"https://github.com/citation-style-language/schema/raw/master/csl-citation.json"} </w:instrText>
      </w:r>
      <w:r w:rsidR="00B05031">
        <w:fldChar w:fldCharType="separate"/>
      </w:r>
      <w:r w:rsidR="00B05031" w:rsidRPr="00B05031">
        <w:rPr>
          <w:rFonts w:cs="Arial"/>
        </w:rPr>
        <w:t>(Chang and Craven 1977)</w:t>
      </w:r>
      <w:r w:rsidR="00B05031">
        <w:fldChar w:fldCharType="end"/>
      </w:r>
      <w:r w:rsidR="00B05031">
        <w:t xml:space="preserve">. </w:t>
      </w:r>
      <w:r w:rsidR="007655F4">
        <w:t xml:space="preserve">Additionally, it was determined that bS21 is required </w:t>
      </w:r>
      <w:r w:rsidR="007655F4">
        <w:lastRenderedPageBreak/>
        <w:t xml:space="preserve">to translate certain mRNAs </w:t>
      </w:r>
      <w:r w:rsidR="007655F4">
        <w:fldChar w:fldCharType="begin"/>
      </w:r>
      <w:r w:rsidR="007655F4">
        <w:instrText xml:space="preserve"> ADDIN ZOTERO_ITEM CSL_CITATION {"citationID":"RxToU7jN","properties":{"formattedCitation":"(Van Duin and Robert 1981)","plainCitation":"(Van Duin and Robert 1981)","noteIndex":0},"citationItems":[{"id":138,"uris":["http://zotero.org/users/10474456/items/X9LRZP5G"],"itemData":{"id":138,"type":"article-journal","abstract":"The function of ribosomal protein S21 in protein synthesis has been examined by (a) inactivation of S21 in situ with specific antibodies and (b) the use of 30-S subunits reconstituted in the absence of S21. The results from the two approaches are consistent. 30-S subunits treated with anti-S21 or lacking S21 are still active in the translation of poly(U) or poly(A,G,U). They are also functional in fMet-tRNA binding when directed by poly(A,G,U) or the AUG triplet. They are not active in the translation of MS2 RNA or Escherichia coli mRNA. The defect of S21-deficient 30-S ribosomes can be traced back to their inability to bind MS2 RNA at the initiation step of protein synthesis. Addition of S21 to S21-deprived subunits restores the MS2-RNA-dependent initiation complex formation.","container-title":"European Journal of Biochemistry","DOI":"10.1111/j.1432-1033.1981.tb05563.x","ISSN":"1432-1033","issue":"3","language":"en","note":"_eprint: https://onlinelibrary.wiley.com/doi/pdf/10.1111/j.1432-1033.1981.tb05563.x","page":"615-619","source":"Wiley Online Library","title":"The Function of Ribosomal Protein S21 in Protein Synthesis","volume":"118","author":[{"family":"Van Duin","given":"Jan"},{"family":"Robert","given":"Wijnands"}],"issued":{"date-parts":[["1981"]]}}}],"schema":"https://github.com/citation-style-language/schema/raw/master/csl-citation.json"} </w:instrText>
      </w:r>
      <w:r w:rsidR="007655F4">
        <w:fldChar w:fldCharType="separate"/>
      </w:r>
      <w:r w:rsidR="007655F4" w:rsidRPr="007655F4">
        <w:rPr>
          <w:rFonts w:cs="Arial"/>
        </w:rPr>
        <w:t>(Van Duin and Robert 1981)</w:t>
      </w:r>
      <w:r w:rsidR="007655F4">
        <w:fldChar w:fldCharType="end"/>
      </w:r>
      <w:r w:rsidR="007655F4">
        <w:t xml:space="preserve">. However, </w:t>
      </w:r>
      <w:r w:rsidR="00035659">
        <w:t xml:space="preserve">bS21 </w:t>
      </w:r>
      <w:r w:rsidR="007655F4">
        <w:t xml:space="preserve">is thought to be non-essential, as it is not encoded in all bacteria </w:t>
      </w:r>
      <w:r w:rsidR="007655F4">
        <w:fldChar w:fldCharType="begin"/>
      </w:r>
      <w:r w:rsidR="007655F4">
        <w:instrText xml:space="preserve"> ADDIN ZOTERO_ITEM CSL_CITATION {"citationID":"05zvC6nY","properties":{"formattedCitation":"(Galperin et al. 2021)","plainCitation":"(Galperin et al. 2021)","noteIndex":0},"citationItems":[{"id":150,"uris":["http://zotero.org/users/10474456/items/GQCUHI9Z"],"itemData":{"id":150,"type":"article-journal","abstract":"Ribosomal proteins (RPs) are highly conserved across the bacterial and archaeal domains. Although many RPs are essential for survival, genome analysis demonstrates the absence of some RP genes in many bacterial and archaeal genomes. Furthermore, global transposon mutagenesis and/or targeted deletion studies showed that elimination of some RP genes had only a moderate effect on the bacterial growth rate. Here, we systematically analyzed the evolutionary conservation of RPs in prokaryotes by compiling a list of the ribosomal genes that are missing from one or more genomes in the recently updated version of the Clusters of Orthologous Genes (COG) database. Some of these absences occurred because the respective genes carried frameshifts, presumably resulting from sequencing errors, while others were overlooked and not translated during genome annotation. Apart from these annotation errors, we identified multiple genuine losses of RP genes in a variety of bacteria and archaea. Some of these losses are clade specific, whereas others occur in symbionts and parasites with dramatically reduced genomes. The lists of computationally and experimentally defined nonessential ribosomal genes show a substantial overlap, revealing a common trend in prokaryote ribosome evolution that could be linked to the architecture and assembly of the ribosomes. Thus, RPs that are located at the surface of the ribosome and/or are incorporated at a late stage of ribosome assembly are more likely to be nonessential and to be lost during microbial evolution, particularly in the course of genome compaction.\nIMPORTANCE In many prokaryote genomes, one or more ribosomal protein (RP) genes are missing. Analysis of 1,309 prokaryote genomes included in the Clusters of Orthologous Genes (COG) database shows that only about half of the RPs are universally conserved in bacteria and archaea. In contrast, up to 16 other RPs are missing in some genomes, primarily tiny (&lt;1 Mb) genomes of host-associated bacteria and archaea. Six bacterial and nine archaeally specific ribosomal proteins show clear patterns of lineage-specific gene loss. Most of the RPs that are frequently lost from bacterial genomes are located on the ribosome periphery and are nonessential in Escherichia coli and Bacillus subtilis. These results reveal general trends and common constraints in the architecture and evolution of ribosomes in prokaryotes.","container-title":"Journal of Bacteriology","DOI":"10.1128/JB.00058-21","issue":"11","note":"publisher: American Society for Microbiology","page":"e00058-21","source":"journals.asm.org (Atypon)","title":"Nonessential Ribosomal Proteins in Bacteria and Archaea Identified Using Clusters of Orthologous Genes","volume":"203","author":[{"family":"Galperin","given":"Michael Y."},{"family":"Wolf","given":"Yuri I."},{"family":"Garushyants","given":"Sofya K."},{"family":"Vera Alvarez","given":"Roberto"},{"family":"Koonin","given":"Eugene V."}],"issued":{"date-parts":[["2021",5,7]]}}}],"schema":"https://github.com/citation-style-language/schema/raw/master/csl-citation.json"} </w:instrText>
      </w:r>
      <w:r w:rsidR="007655F4">
        <w:fldChar w:fldCharType="separate"/>
      </w:r>
      <w:r w:rsidR="007655F4" w:rsidRPr="007655F4">
        <w:rPr>
          <w:rFonts w:cs="Arial"/>
        </w:rPr>
        <w:t>(Galperin et al. 2021)</w:t>
      </w:r>
      <w:r w:rsidR="007655F4">
        <w:fldChar w:fldCharType="end"/>
      </w:r>
      <w:r w:rsidR="007655F4">
        <w:t xml:space="preserve">. </w:t>
      </w:r>
      <w:r w:rsidR="00035659">
        <w:t xml:space="preserve">Although </w:t>
      </w:r>
      <w:r w:rsidR="00DE66A1">
        <w:t xml:space="preserve">bS21 is not encoded by all bacteria, it is encoded by some phage </w:t>
      </w:r>
      <w:r w:rsidR="00DE66A1">
        <w:fldChar w:fldCharType="begin"/>
      </w:r>
      <w:r w:rsidR="00DE66A1">
        <w:instrText xml:space="preserve"> ADDIN ZOTERO_ITEM CSL_CITATION {"citationID":"PksMJ7xy","properties":{"formattedCitation":"(Mizuno et al. 2019)","plainCitation":"(Mizuno et al. 2019)","noteIndex":0},"citationItems":[{"id":312,"uris":["http://zotero.org/users/10474456/items/5WHQI76K"],"itemData":{"id":312,"type":"article-journal","abstract":"Viruses modulate ecosystems by directly altering host metabolisms through auxiliary metabolic genes. However, viral genomes are not known to encode the core components of translation machinery, such as ribosomal proteins (RPs). Here, using reference genomes and global-scale viral metagenomic datasets, we identify 14 different RPs across viral genomes arising from cultivated viral isolates and metagenome-assembled viruses. Viruses tend to encode dynamic RPs, easily exchangeable between ribosomes, suggesting these proteins can replace cellular versions in host ribosomes. Functional assays confirm that the two most common virus-encoded RPs, bS21 and bL12, are incorporated into 70S ribosomes when expressed in Escherichia coli. Ecological distribution of virus-encoded RPs suggests some level of ecosystem adaptations as aquatic viruses and viruses of animal-associated bacteria are enriched for different subsets of RPs. Finally, RP genes are under purifying selection and thus likely retained an important function after being horizontally transferred into virus genomes.","container-title":"Nature Communications","DOI":"10.1038/s41467-019-08672-6","ISSN":"2041-1723","issue":"1","journalAbbreviation":"Nat Commun","language":"en","license":"2019 The Author(s)","note":"number: 1\npublisher: Nature Publishing Group","page":"752","source":"www.nature.com","title":"Numerous cultivated and uncultivated viruses encode ribosomal proteins","volume":"10","author":[{"family":"Mizuno","given":"Carolina M."},{"family":"Guyomar","given":"Charlotte"},{"family":"Roux","given":"Simon"},{"family":"Lavigne","given":"Régis"},{"family":"Rodriguez-Valera","given":"Francisco"},{"family":"Sullivan","given":"Matthew B."},{"family":"Gillet","given":"Reynald"},{"family":"Forterre","given":"Patrick"},{"family":"Krupovic","given":"Mart"}],"issued":{"date-parts":[["2019",2,14]]}}}],"schema":"https://github.com/citation-style-language/schema/raw/master/csl-citation.json"} </w:instrText>
      </w:r>
      <w:r w:rsidR="00DE66A1">
        <w:fldChar w:fldCharType="separate"/>
      </w:r>
      <w:r w:rsidR="00DE66A1" w:rsidRPr="00DE66A1">
        <w:rPr>
          <w:rFonts w:cs="Arial"/>
        </w:rPr>
        <w:t>(Mizuno et al. 2019)</w:t>
      </w:r>
      <w:r w:rsidR="00DE66A1">
        <w:fldChar w:fldCharType="end"/>
      </w:r>
      <w:r w:rsidR="00DE66A1">
        <w:t xml:space="preserve">. </w:t>
      </w:r>
    </w:p>
    <w:p w14:paraId="5C863CCE" w14:textId="0AEE90C9" w:rsidR="00F40739" w:rsidRPr="00E234B2" w:rsidRDefault="00F40739" w:rsidP="00501973">
      <w:pPr>
        <w:spacing w:line="480" w:lineRule="auto"/>
        <w:ind w:firstLine="450"/>
        <w:jc w:val="both"/>
      </w:pPr>
      <w:r>
        <w:t xml:space="preserve">In </w:t>
      </w:r>
      <w:r w:rsidR="00035659">
        <w:t>bacteria</w:t>
      </w:r>
      <w:r w:rsidR="004234FD">
        <w:t xml:space="preserve"> which do encode bS21, </w:t>
      </w:r>
      <w:r w:rsidR="00501835">
        <w:t>there are specific</w:t>
      </w:r>
      <w:r w:rsidR="004234FD">
        <w:t xml:space="preserve"> phenotypes </w:t>
      </w:r>
      <w:r w:rsidR="00501835">
        <w:t>observed when it is lost</w:t>
      </w:r>
      <w:r w:rsidR="004234FD">
        <w:t xml:space="preserve">. For example, in </w:t>
      </w:r>
      <w:r w:rsidR="004234FD">
        <w:rPr>
          <w:i/>
          <w:iCs/>
        </w:rPr>
        <w:t>B</w:t>
      </w:r>
      <w:r w:rsidR="00A832D7">
        <w:rPr>
          <w:i/>
          <w:iCs/>
        </w:rPr>
        <w:t>.</w:t>
      </w:r>
      <w:r w:rsidR="004234FD">
        <w:rPr>
          <w:i/>
          <w:iCs/>
        </w:rPr>
        <w:t xml:space="preserve"> subtilis</w:t>
      </w:r>
      <w:r w:rsidR="004234FD">
        <w:t xml:space="preserve">, deletion of </w:t>
      </w:r>
      <w:r w:rsidR="004234FD">
        <w:rPr>
          <w:i/>
          <w:iCs/>
        </w:rPr>
        <w:t xml:space="preserve">rpsU </w:t>
      </w:r>
      <w:r w:rsidR="004234FD">
        <w:t xml:space="preserve">lead to filamentous cells with impaired motility </w:t>
      </w:r>
      <w:r w:rsidR="004234FD">
        <w:fldChar w:fldCharType="begin"/>
      </w:r>
      <w:r w:rsidR="00D66F33">
        <w:instrText xml:space="preserve"> ADDIN ZOTERO_ITEM CSL_CITATION {"citationID":"TR2rc8Sl","properties":{"formattedCitation":"(Akanuma et al. 2012)","plainCitation":"(Akanuma et al. 2012)","noteIndex":0},"citationItems":[{"id":230,"uris":["http://zotero.org/users/10474456/items/8ISDWY7H"],"itemData":{"id":230,"type":"article-journal","abstract":"Among the 57 genes that encode ribosomal proteins in the genome of Bacillus subtilis, a Gram-positive bacterium, 50 genes were targeted by systematic inactivation. Individual deletion mutants of 16 ribosomal proteins (L1, L9, L15, L22, L23, L28, L29, L32, L33.1, L33.2, L34, L35, L36, S6, S20, and S21) were obtained successfully. In conjunction with previous reports, 22 ribosomal proteins have been shown to be nonessential in B. subtilis, at least for cell proliferation. Although several mutants that harbored a deletion of a ribosomal protein gene did not show any significant differences in any of the phenotypes that were tested, various mutants showed a reduced growth rate and reduced levels of 70S ribosomes compared with the wild type. In addition, severe defects in the sporulation frequency of the ΔrplA (L1) mutant and the motility of the ΔrpsU (S21) mutant were observed. These data provide the first evidence in B. subtilis that L1 and S21 are required for the progression of cellular differentiation.","container-title":"Journal of Bacteriology","DOI":"10.1128/JB.01544-12","ISSN":"0021-9193","issue":"22","journalAbbreviation":"J Bacteriol","note":"PMID: 23002217\nPMCID: PMC3486396","page":"6282-6291","source":"PubMed Central","title":"Inactivation of Ribosomal Protein Genes in Bacillus subtilis Reveals Importance of Each Ribosomal Protein for Cell Proliferation and Cell Differentiation","volume":"194","author":[{"family":"Akanuma","given":"Genki"},{"family":"Nanamiya","given":"Hideaki"},{"family":"Natori","given":"Yousuke"},{"family":"Yano","given":"Koichi"},{"family":"Suzuki","given":"Shota"},{"family":"Omata","given":"Shuya"},{"family":"Ishizuka","given":"Morio"},{"family":"Sekine","given":"Yasuhiko"},{"family":"Kawamura","given":"Fujio"}],"issued":{"date-parts":[["2012",11]]}}}],"schema":"https://github.com/citation-style-language/schema/raw/master/csl-citation.json"} </w:instrText>
      </w:r>
      <w:r w:rsidR="004234FD">
        <w:fldChar w:fldCharType="separate"/>
      </w:r>
      <w:r w:rsidR="00D66F33" w:rsidRPr="00D66F33">
        <w:rPr>
          <w:rFonts w:cs="Arial"/>
        </w:rPr>
        <w:t>(Akanuma et al. 2012)</w:t>
      </w:r>
      <w:r w:rsidR="004234FD">
        <w:fldChar w:fldCharType="end"/>
      </w:r>
      <w:r w:rsidR="00D66F33">
        <w:t xml:space="preserve">. </w:t>
      </w:r>
      <w:r w:rsidR="004F5472">
        <w:t xml:space="preserve">In </w:t>
      </w:r>
      <w:r w:rsidR="004F5472">
        <w:rPr>
          <w:i/>
          <w:iCs/>
        </w:rPr>
        <w:t>Staphylococcous aureus</w:t>
      </w:r>
      <w:r w:rsidR="004F5472">
        <w:t xml:space="preserve">, clinical samples with </w:t>
      </w:r>
      <w:r w:rsidR="00035659">
        <w:t xml:space="preserve">increased </w:t>
      </w:r>
      <w:r w:rsidR="004F5472">
        <w:t xml:space="preserve">resistance to </w:t>
      </w:r>
      <w:r w:rsidR="004F5472" w:rsidRPr="004F5472">
        <w:t xml:space="preserve">daptomycin and vancomycin </w:t>
      </w:r>
      <w:r w:rsidR="00035659">
        <w:t xml:space="preserve">have </w:t>
      </w:r>
      <w:r w:rsidR="004F5472">
        <w:t xml:space="preserve">mutations in </w:t>
      </w:r>
      <w:r w:rsidR="004F5472">
        <w:rPr>
          <w:i/>
          <w:iCs/>
        </w:rPr>
        <w:t xml:space="preserve">rpsU </w:t>
      </w:r>
      <w:r w:rsidR="004F5472">
        <w:rPr>
          <w:i/>
          <w:iCs/>
        </w:rPr>
        <w:fldChar w:fldCharType="begin"/>
      </w:r>
      <w:r w:rsidR="004F5472">
        <w:rPr>
          <w:i/>
          <w:iCs/>
        </w:rPr>
        <w:instrText xml:space="preserve"> ADDIN ZOTERO_ITEM CSL_CITATION {"citationID":"ACiMKwLS","properties":{"formattedCitation":"(Basco et al. 2019; Blake and O\\uc0\\u8217{}Neill 2013; Friedman, Alder, and Silverman 2006)","plainCitation":"(Basco et al. 2019; Blake and O’Neill 2013; Friedman, Alder, and Silverman 2006)","noteIndex":0},"citationItems":[{"id":334,"uris":["http://zotero.org/users/10474456/items/UXXUDHX6"],"itemData":{"id":334,"type":"article-journal","abstract":"Purpose. The purpose of the present study was to determine the relatedness of Staphylococcus aureus strains successively isolated over a 7-day period from a single bacteraemic patient undergoing antibiotic treatment with vancomycin. Methods. The S. aureus strains had been isolated and sequenced previously. Antibiotic susceptibility testing, population analysis profiling, and lysostaphin sensitivity and phagocytic killing assays were used to characterize these clonal isolates. Results. The seven isolates (MEH1–MEH7) were determined to belong to a common multilocus sequence type (MLST) and spa type. Within the third and fifth day of vancomycin treatment, mutations were observed in the vraS and rpsU genes, respectively. Population analysis profiles revealed that the initial isolate (MEH1) was vancomycin-susceptible S. aureus (VSSA), while those isolated on day 7 were mostly heteroresistant vancomycin-intermediate S. aureus (hVISA). Supporting these findings, MEH7 was also observed to be slower in growth, to have an increase in cell wall width and to have reduced sensitivity to lysostaphin, all characteristics of VISA and hVISA strains. In addition, MEH7, although phagocytosed at numbers comparable to the initial isolate, MEH1, survived in higher numbers in RAW 264.7 macrophages. Macrophages infected with MEH7 also released more TNF-α and IFN-1β. Conclusion. We report an increasing resistance to vancomycin coupled with daptomycin that occurred within approximately 3 days of receiving vancomycin and steadily increased until the infection was cleared with an alternative antibiotic therapy. This study reiterates the need for rapid, efficient and accurate detection of hVISA and VISA infections, especially in high-bacterial load, metastatic infections like bacteraemia.","container-title":"Journal of Medical Microbiology","DOI":"10.1099/jmm.0.000988","ISSN":"1473-5644","issue":"6","note":"publisher: Microbiology Society,","page":"848-859","source":"Microbiology Society Journals","title":"Reduced vancomycin susceptibility and increased macrophage survival in Staphylococcus aureus strains sequentially isolated from a bacteraemic patient during a short course of antibiotic therapy","volume":"68","author":[{"family":"Basco","given":"M. D. S."},{"family":"Kothari","given":"A."},{"family":"McKinzie","given":"Page B."},{"family":"Revollo","given":"J. R."},{"family":"Agnihothram","given":"S."},{"family":"Azevedo","given":"M. P."},{"family":"Saccente","given":"M."},{"family":"Hart","given":"M. E."}],"issued":{"date-parts":[["2019"]]}}},{"id":336,"uris":["http://zotero.org/users/10474456/items/TAX3T44X"],"itemData":{"id":336,"type":"article-journal","abstract":"To establish an experimental platform in Staphylococcus aureus for identifying genetic loci that determine intrinsic antibiotic susceptibility and/or that have the potential to contribute to acquired antibiotic resistance. A near-saturation S. aureus transposon (Tn) library was screened for mutants exhibiting altered susceptibility to the antistaphylococcal agents daptomycin, vancomycin and nisin.S. aureus SH1000 was mutagenized with Tn InsTetG+2Cm by electroporation of transposomes. Approximately 20500 transposants were screened for increased or reduced susceptibility to the three antistaphylococcal agents and Tn insertion sites were mapped by DNA sequencing in mutants of interest.Transposants exhibiting hypersusceptibility or reduced susceptibility were identified for all three antibacterial agents; mapping of Tn insertion sites in these mutants identified genetic determinants of intrinsic susceptibility and potential contributors to acquired resistance, respectively. Tn insertions in the dlt operon caused cross-hypersusceptibility to vancomycin, daptomycin and nisin. Daptomycin hypersusceptibility was also associated with disruption of genes directing lipoteichoic acid and riboflavin biosynthesis, apparent inactivation of a putative membrane protein encoded by SAOUHSC_00957 and truncation of the cell-division gene ezrA. Tn-mediated disruption of the vraDE- and SAOUHSC_02953/4-encoded ABC transporters conferred hypersusceptibility to nisin. Reduced susceptibility to both daptomycin and vancomycin was associated with Tn insertions in rpsU and upstream of yycFG. Several loci were associated with reduced susceptibility to nisin, including two genes encoding putative glycosyltransferases.Tn library screening identified both known and novel modulators of antibacterial susceptibility in S. aureus and therefore represents a useful approach towards delineating the staphylococcal resistome.","container-title":"Journal of Antimicrobial Chemotherapy","DOI":"10.1093/jac/dks373","ISSN":"0305-7453","issue":"1","journalAbbreviation":"Journal of Antimicrobial Chemotherapy","page":"12-16","source":"Silverchair","title":"Transposon library screening for identification of genetic loci participating in intrinsic susceptibility and acquired resistance to antistaphylococcal agents","volume":"68","author":[{"family":"Blake","given":"Katy L."},{"family":"O'Neill","given":"Alex J."}],"issued":{"date-parts":[["2013",1,1]]}}},{"id":338,"uris":["http://zotero.org/users/10474456/items/L8SXPGGM"],"itemData":{"id":338,"type":"article-journal","abstract":"Daptomycin is a lipopeptide antibiotic with potent activity against gram-positive bacteria. Complete-genome comparisons of laboratory-derived Staphylococcus aureus with decreased susceptibility to daptomycin and their susceptible parent were used to identify genes that contribute to reduced susceptibility to daptomycin. Selective pressure of growth in sublethal concentrations of daptomycin resulted in the accumulation of mutations over time correlating with incremental decreases in susceptibility. Single point mutations resulting in amino acid substitutions occurred in three distinct proteins: MprF, a lysylphosphatidylglycerol synthetase; YycG, a histidine kinase; and RpoB and RpoC, the β and β′ subunits of RNA polymerase. Sequence analysis of mprF, yycF, yycG, rpoB, and rpoC in clinical isolates that showed treatment-emergent increases in daptomycin MICs revealed point mutations in mprF and a nucleotide insertion in yycG, suggesting a role for these genes in decreased susceptibility to daptomycin in the hospital setting.","container-title":"Antimicrobial Agents and Chemotherapy","DOI":"10.1128/aac.00039-06","issue":"6","note":"publisher: American Society for Microbiology","page":"2137-2145","source":"journals.asm.org (Atypon)","title":"Genetic Changes That Correlate with Reduced Susceptibility to Daptomycin in Staphylococcus aureus","volume":"50","author":[{"family":"Friedman","given":"Lisa"},{"family":"Alder","given":"Jeff D."},{"family":"Silverman","given":"Jared A."}],"issued":{"date-parts":[["2006",6]]}}}],"schema":"https://github.com/citation-style-language/schema/raw/master/csl-citation.json"} </w:instrText>
      </w:r>
      <w:r w:rsidR="004F5472">
        <w:rPr>
          <w:i/>
          <w:iCs/>
        </w:rPr>
        <w:fldChar w:fldCharType="separate"/>
      </w:r>
      <w:r w:rsidR="004F5472" w:rsidRPr="004F5472">
        <w:rPr>
          <w:rFonts w:cs="Arial"/>
          <w:szCs w:val="24"/>
        </w:rPr>
        <w:t>(Basco et al. 2019; Blake and O’Neill 2013; Friedman, Alder, and Silverman 2006)</w:t>
      </w:r>
      <w:r w:rsidR="004F5472">
        <w:rPr>
          <w:i/>
          <w:iCs/>
        </w:rPr>
        <w:fldChar w:fldCharType="end"/>
      </w:r>
      <w:r w:rsidR="004F5472">
        <w:t xml:space="preserve">. </w:t>
      </w:r>
      <w:r w:rsidR="00687B94">
        <w:t xml:space="preserve">In </w:t>
      </w:r>
      <w:r w:rsidR="00687B94" w:rsidRPr="00E234B2">
        <w:rPr>
          <w:i/>
          <w:iCs/>
        </w:rPr>
        <w:t>Burkholderia pseudomallei</w:t>
      </w:r>
      <w:r w:rsidR="00687B94">
        <w:t xml:space="preserve">, </w:t>
      </w:r>
      <w:r w:rsidR="002279FA">
        <w:t xml:space="preserve">a </w:t>
      </w:r>
      <w:r w:rsidR="00687B94">
        <w:t>Tn-Seq strategy using a</w:t>
      </w:r>
      <w:r w:rsidR="00E234B2">
        <w:t xml:space="preserve"> </w:t>
      </w:r>
      <w:r w:rsidR="00201D98">
        <w:t xml:space="preserve">transposon </w:t>
      </w:r>
      <w:r w:rsidR="00687B94">
        <w:t xml:space="preserve">mutant </w:t>
      </w:r>
      <w:r w:rsidR="00201D98">
        <w:t xml:space="preserve">library </w:t>
      </w:r>
      <w:r w:rsidR="002279FA">
        <w:t xml:space="preserve">passaged through </w:t>
      </w:r>
      <w:r w:rsidR="00687B94">
        <w:t xml:space="preserve">a mouse infection model identified bS21 as critical for </w:t>
      </w:r>
      <w:r w:rsidR="00A832D7" w:rsidRPr="00A832D7">
        <w:rPr>
          <w:i/>
          <w:iCs/>
        </w:rPr>
        <w:t>B. pseudonallei</w:t>
      </w:r>
      <w:r w:rsidR="00687B94">
        <w:t xml:space="preserve"> to cause disease</w:t>
      </w:r>
      <w:r w:rsidR="00201D98">
        <w:t xml:space="preserve"> </w:t>
      </w:r>
      <w:r w:rsidR="00E234B2">
        <w:fldChar w:fldCharType="begin"/>
      </w:r>
      <w:r w:rsidR="00E234B2">
        <w:instrText xml:space="preserve"> ADDIN ZOTERO_ITEM CSL_CITATION {"citationID":"LkZJ8QY7","properties":{"formattedCitation":"(Gutierrez, Yoder-Himes, and Warawa 2015)","plainCitation":"(Gutierrez, Yoder-Himes, and Warawa 2015)","noteIndex":0},"citationItems":[{"id":345,"uris":["http://zotero.org/users/10474456/items/4CAHIESJ"],"itemData":{"id":345,"type":"article-journal","abstract":"Respiratory melioidosis is a disease presentation of the biodefense pathogen, Burkholderia pseudomallei, which is frequently associated with a lethal septicemic spread of the bacteria. We have recently developed an improved respiratory melioidosis model to study the pathogenesis of Burkholderia pseudomallei in the lung (intubation-mediated intratracheal [IMIT] inoculation), which more closely models descriptions of human melioidosis, including prominent septicemic spread from the lung and reduced involvement of the upper respiratory tract. We previously demonstrated that the Type 3 Secretion System cluster 3 (T3SS3) is a critical virulence determinant for B. pseudomallei when delivered directly into the lung. We decided to comprehensively identify all virulence determinants required for respiratory melioidosis using the Tn-seq phenotypic screen, as well as to investigate which virulence determinants are required for dissemination to the liver and spleen. While previous studies have used Tn-seq to identify essential genes for in vitro cultured B. pseudomallei, this represents the first study to use Tn-seq to identify genes required for in vivo fitness. Consistent with our previous findings, we identified T3SS3 as the largest genetic cluster required for fitness in the lung. Furthermore, we identified capsular polysaccharide and Type 6 Secretion System cluster 5 (T6SS5) as the two additional major genetic clusters facilitating respiratory melioidosis. Importantly, Tn-seq did not identify additional, novel large genetic systems supporting respiratory melioidosis, although these studies identified additional small gene clusters that may also play crucial roles in lung fitness. Interestingly, other previously identified virulence determinants do not appear to be required for lung fitness, such as lipopolysaccharide. The role of T3SS3, capsule, and T6SS5 in lung fitness was validated by competition studies, but only T3SS3 was found to be important for respiratory melioidosis when delivered as a single strain challenge, suggesting that competition studies may provide a higher resolution analysis of fitness factors in the lung. The use of Tn-seq phenotypic screening also provided key insights into the selective pressure encountered in the liver.","container-title":"Frontiers in Cellular and Infection Microbiology","DOI":"10.3389/fcimb.2015.00078","ISSN":"2235-2988","journalAbbreviation":"Front Cell Infect Microbiol","language":"eng","note":"PMID: 26583079\nPMCID: PMC4631991","page":"78","source":"PubMed","title":"Comprehensive identification of virulence factors required for respiratory melioidosis using Tn-seq mutagenesis","volume":"5","author":[{"family":"Gutierrez","given":"Maria G."},{"family":"Yoder-Himes","given":"Deborah R."},{"family":"Warawa","given":"Jonathan M."}],"issued":{"date-parts":[["2015"]]}}}],"schema":"https://github.com/citation-style-language/schema/raw/master/csl-citation.json"} </w:instrText>
      </w:r>
      <w:r w:rsidR="00E234B2">
        <w:fldChar w:fldCharType="separate"/>
      </w:r>
      <w:r w:rsidR="00E234B2" w:rsidRPr="00E234B2">
        <w:rPr>
          <w:rFonts w:cs="Arial"/>
        </w:rPr>
        <w:t>(Gutierrez, Yoder-Himes, and Warawa 2015)</w:t>
      </w:r>
      <w:r w:rsidR="00E234B2">
        <w:fldChar w:fldCharType="end"/>
      </w:r>
      <w:r w:rsidR="00E234B2">
        <w:t xml:space="preserve">. Through </w:t>
      </w:r>
      <w:r w:rsidR="00687B94">
        <w:t>a similar</w:t>
      </w:r>
      <w:r w:rsidR="00E234B2">
        <w:t xml:space="preserve"> method, a bS21 </w:t>
      </w:r>
      <w:r w:rsidR="00035659">
        <w:t xml:space="preserve">homolog in </w:t>
      </w:r>
      <w:r w:rsidR="00035659" w:rsidRPr="00256073">
        <w:rPr>
          <w:i/>
          <w:iCs/>
        </w:rPr>
        <w:t>F. tularensis</w:t>
      </w:r>
      <w:r w:rsidR="00E234B2">
        <w:t xml:space="preserve">, </w:t>
      </w:r>
      <w:r w:rsidR="00E234B2">
        <w:rPr>
          <w:i/>
          <w:iCs/>
        </w:rPr>
        <w:t>rpsU1</w:t>
      </w:r>
      <w:r w:rsidR="00E234B2">
        <w:t>, was implicated as a potential virulence gene</w:t>
      </w:r>
      <w:r w:rsidR="00201D98">
        <w:t xml:space="preserve"> in mice</w:t>
      </w:r>
      <w:r w:rsidR="00E234B2">
        <w:t xml:space="preserve"> </w:t>
      </w:r>
      <w:r w:rsidR="00E234B2">
        <w:fldChar w:fldCharType="begin"/>
      </w:r>
      <w:r w:rsidR="00E234B2">
        <w:instrText xml:space="preserve"> ADDIN ZOTERO_ITEM CSL_CITATION {"citationID":"dCAsF7lp","properties":{"formattedCitation":"(Su et al. 2007)","plainCitation":"(Su et al. 2007)","noteIndex":0},"citationItems":[{"id":255,"uris":["http://zotero.org/users/10474456/items/XW73XG3S"],"itemData":{"id":255,"type":"article-journal","abstract":"Francisella tularensis is a gram-negative pathogen that causes life-threatening infections in humans and has potential for use as a biological weapon. The genetic basis of the F. tularensis virulence is poorly understood. This study screened a total of 3,936 transposon mutants of the live vaccine strain for infection in a mouse model of respiratory tularemia by signature-tagged mutagenesis. We identified 341 mutants attenuated for infection in the lungs. The transposon disruptions were mapped to 95 different genes, virtually all of which are also present in the genomes of other F. tularensis strains, including human pathogenic F. tularensis strain Schu S4. A small subset of these attenuated mutants carried insertions in the genes encoding previously known virulence factors, but the majority of the identified genes have not been previously linked to F. tularensis virulence. Among these are genes encoding putative membrane proteins, proteins associated with stress responses, metabolic proteins, transporter proteins, and proteins with unknown functions. Several attenuated mutants contained disruptions in a putative capsule locus which partially resembles the poly-γ-glutamate capsule biosynthesis locus of Bacillus anthracis, the anthrax agent. Deletional mutation analysis confirmed that this locus is essential for F. tularensis virulence.","container-title":"Infection and Immunity","DOI":"10.1128/iai.01865-06","issue":"6","note":"publisher: American Society for Microbiology","page":"3089-3101","source":"journals.asm.org (Atypon)","title":"Genome-Wide Identification of Francisella tularensis Virulence Determinants","volume":"75","author":[{"family":"Su","given":"Jingliang"},{"family":"Yang","given":"Jun"},{"family":"Zhao","given":"Daimin"},{"family":"Kawula","given":"Thomas H."},{"family":"Banas","given":"Jeffrey A."},{"family":"Zhang","given":"Jing-Ren"}],"issued":{"date-parts":[["2007",6]]}}}],"schema":"https://github.com/citation-style-language/schema/raw/master/csl-citation.json"} </w:instrText>
      </w:r>
      <w:r w:rsidR="00E234B2">
        <w:fldChar w:fldCharType="separate"/>
      </w:r>
      <w:r w:rsidR="00E234B2" w:rsidRPr="00E234B2">
        <w:rPr>
          <w:rFonts w:cs="Arial"/>
        </w:rPr>
        <w:t>(Su et al. 2007)</w:t>
      </w:r>
      <w:r w:rsidR="00E234B2">
        <w:fldChar w:fldCharType="end"/>
      </w:r>
      <w:r w:rsidR="00E234B2">
        <w:t xml:space="preserve">. </w:t>
      </w:r>
    </w:p>
    <w:p w14:paraId="7C599895" w14:textId="77777777" w:rsidR="00FF7C61" w:rsidRPr="00430ECF" w:rsidRDefault="00FF7C61" w:rsidP="00FF7C61">
      <w:pPr>
        <w:spacing w:line="480" w:lineRule="auto"/>
        <w:rPr>
          <w:rFonts w:cs="Arial"/>
          <w:i/>
          <w:iCs/>
          <w:szCs w:val="24"/>
        </w:rPr>
      </w:pPr>
      <w:r w:rsidRPr="00430ECF">
        <w:rPr>
          <w:rFonts w:cs="Arial"/>
          <w:i/>
          <w:iCs/>
          <w:szCs w:val="24"/>
        </w:rPr>
        <w:t xml:space="preserve">bS21-2 in F. tularensis </w:t>
      </w:r>
    </w:p>
    <w:p w14:paraId="1EDF613F" w14:textId="15BA3C7C" w:rsidR="004234FD" w:rsidRPr="00430ECF" w:rsidRDefault="00FF7C61" w:rsidP="004234FD">
      <w:pPr>
        <w:spacing w:line="480" w:lineRule="auto"/>
        <w:ind w:firstLine="720"/>
        <w:jc w:val="both"/>
        <w:rPr>
          <w:rFonts w:cs="Arial"/>
          <w:szCs w:val="24"/>
        </w:rPr>
      </w:pPr>
      <w:r w:rsidRPr="00430ECF">
        <w:rPr>
          <w:rFonts w:cs="Arial"/>
          <w:szCs w:val="24"/>
        </w:rPr>
        <w:t>The genome of</w:t>
      </w:r>
      <w:r w:rsidR="004234FD" w:rsidRPr="00430ECF">
        <w:rPr>
          <w:rFonts w:cs="Arial"/>
          <w:szCs w:val="24"/>
        </w:rPr>
        <w:t xml:space="preserve"> </w:t>
      </w:r>
      <w:r w:rsidR="004234FD" w:rsidRPr="00430ECF">
        <w:rPr>
          <w:rFonts w:cs="Arial"/>
          <w:i/>
          <w:iCs/>
          <w:szCs w:val="24"/>
        </w:rPr>
        <w:t>F. tularensis</w:t>
      </w:r>
      <w:r w:rsidRPr="00430ECF">
        <w:rPr>
          <w:rFonts w:cs="Arial"/>
          <w:szCs w:val="24"/>
        </w:rPr>
        <w:t xml:space="preserve"> encodes</w:t>
      </w:r>
      <w:r w:rsidR="004234FD" w:rsidRPr="00430ECF">
        <w:rPr>
          <w:rFonts w:cs="Arial"/>
          <w:szCs w:val="24"/>
        </w:rPr>
        <w:t xml:space="preserve"> three distinct bS21 homologs, bS21-1, bS21-2, and bS21-3, </w:t>
      </w:r>
      <w:r w:rsidRPr="00430ECF">
        <w:rPr>
          <w:rFonts w:cs="Arial"/>
          <w:szCs w:val="24"/>
        </w:rPr>
        <w:t>(</w:t>
      </w:r>
      <w:r w:rsidR="004234FD" w:rsidRPr="00430ECF">
        <w:rPr>
          <w:rFonts w:cs="Arial"/>
          <w:szCs w:val="24"/>
        </w:rPr>
        <w:t xml:space="preserve">encoded by </w:t>
      </w:r>
      <w:r w:rsidR="004234FD" w:rsidRPr="00430ECF">
        <w:rPr>
          <w:rFonts w:cs="Arial"/>
          <w:i/>
          <w:iCs/>
          <w:szCs w:val="24"/>
        </w:rPr>
        <w:t xml:space="preserve">rpsU1, rpsU2, </w:t>
      </w:r>
      <w:r w:rsidR="004234FD" w:rsidRPr="00430ECF">
        <w:rPr>
          <w:rFonts w:cs="Arial"/>
          <w:szCs w:val="24"/>
        </w:rPr>
        <w:t xml:space="preserve">and </w:t>
      </w:r>
      <w:r w:rsidR="004234FD" w:rsidRPr="00430ECF">
        <w:rPr>
          <w:rFonts w:cs="Arial"/>
          <w:i/>
          <w:iCs/>
          <w:szCs w:val="24"/>
        </w:rPr>
        <w:t>rpsU3</w:t>
      </w:r>
      <w:r w:rsidR="004234FD" w:rsidRPr="00430ECF">
        <w:rPr>
          <w:rFonts w:cs="Arial"/>
          <w:szCs w:val="24"/>
        </w:rPr>
        <w:t>, respectively</w:t>
      </w:r>
      <w:r w:rsidRPr="00430ECF">
        <w:rPr>
          <w:rFonts w:cs="Arial"/>
          <w:szCs w:val="24"/>
        </w:rPr>
        <w:t>)</w:t>
      </w:r>
      <w:r w:rsidR="004234FD" w:rsidRPr="00430ECF">
        <w:rPr>
          <w:rFonts w:cs="Arial"/>
          <w:szCs w:val="24"/>
        </w:rPr>
        <w:t xml:space="preserve">. This is </w:t>
      </w:r>
      <w:r w:rsidRPr="00430ECF">
        <w:rPr>
          <w:rFonts w:cs="Arial"/>
          <w:szCs w:val="24"/>
        </w:rPr>
        <w:t>notable</w:t>
      </w:r>
      <w:r w:rsidR="004234FD" w:rsidRPr="00430ECF">
        <w:rPr>
          <w:rFonts w:cs="Arial"/>
          <w:szCs w:val="24"/>
        </w:rPr>
        <w:t xml:space="preserve"> due to the limited size of the </w:t>
      </w:r>
      <w:r w:rsidR="004234FD" w:rsidRPr="00430ECF">
        <w:rPr>
          <w:rFonts w:cs="Arial"/>
          <w:i/>
          <w:iCs/>
          <w:szCs w:val="24"/>
        </w:rPr>
        <w:t xml:space="preserve">F. tularensis </w:t>
      </w:r>
      <w:r w:rsidR="004234FD" w:rsidRPr="00430ECF">
        <w:rPr>
          <w:rFonts w:cs="Arial"/>
          <w:szCs w:val="24"/>
        </w:rPr>
        <w:t xml:space="preserve">genome (approximately 2 </w:t>
      </w:r>
      <w:r w:rsidRPr="00430ECF">
        <w:rPr>
          <w:rFonts w:cs="Arial"/>
          <w:szCs w:val="24"/>
        </w:rPr>
        <w:t>Mbp</w:t>
      </w:r>
      <w:r w:rsidR="004234FD" w:rsidRPr="00430ECF">
        <w:rPr>
          <w:rFonts w:cs="Arial"/>
          <w:szCs w:val="24"/>
        </w:rPr>
        <w:t xml:space="preserve">). Small, </w:t>
      </w:r>
      <w:r w:rsidR="00430ECF">
        <w:rPr>
          <w:rFonts w:cs="Arial"/>
          <w:szCs w:val="24"/>
        </w:rPr>
        <w:t>reduced</w:t>
      </w:r>
      <w:r w:rsidR="004234FD" w:rsidRPr="00430ECF">
        <w:rPr>
          <w:rFonts w:cs="Arial"/>
          <w:szCs w:val="24"/>
        </w:rPr>
        <w:t xml:space="preserve"> genomes are characteristic of intracellular pathogens, </w:t>
      </w:r>
      <w:r w:rsidR="00B06998">
        <w:rPr>
          <w:rFonts w:cs="Arial"/>
          <w:szCs w:val="24"/>
        </w:rPr>
        <w:t>making the presence of</w:t>
      </w:r>
      <w:r w:rsidR="004234FD" w:rsidRPr="00430ECF">
        <w:rPr>
          <w:rFonts w:cs="Arial"/>
          <w:szCs w:val="24"/>
        </w:rPr>
        <w:t xml:space="preserve"> three bS21 </w:t>
      </w:r>
      <w:r w:rsidR="00B556C0" w:rsidRPr="00430ECF">
        <w:rPr>
          <w:rFonts w:cs="Arial"/>
          <w:szCs w:val="24"/>
        </w:rPr>
        <w:t>homologs</w:t>
      </w:r>
      <w:r w:rsidR="004234FD" w:rsidRPr="00430ECF">
        <w:rPr>
          <w:rFonts w:cs="Arial"/>
          <w:szCs w:val="24"/>
        </w:rPr>
        <w:t xml:space="preserve"> in </w:t>
      </w:r>
      <w:r w:rsidR="004234FD" w:rsidRPr="00430ECF">
        <w:rPr>
          <w:rFonts w:cs="Arial"/>
          <w:i/>
          <w:iCs/>
          <w:szCs w:val="24"/>
        </w:rPr>
        <w:t>F. tularensis</w:t>
      </w:r>
      <w:r w:rsidR="004234FD" w:rsidRPr="00430ECF">
        <w:rPr>
          <w:rFonts w:cs="Arial"/>
          <w:szCs w:val="24"/>
        </w:rPr>
        <w:t xml:space="preserve"> </w:t>
      </w:r>
      <w:r w:rsidR="00B06998">
        <w:rPr>
          <w:rFonts w:cs="Arial"/>
          <w:szCs w:val="24"/>
        </w:rPr>
        <w:t xml:space="preserve">remarkable </w:t>
      </w:r>
      <w:r w:rsidR="004234FD" w:rsidRPr="00430ECF">
        <w:rPr>
          <w:rFonts w:cs="Arial"/>
          <w:szCs w:val="24"/>
        </w:rPr>
        <w:fldChar w:fldCharType="begin"/>
      </w:r>
      <w:r w:rsidR="00A15FF7">
        <w:rPr>
          <w:rFonts w:cs="Arial"/>
          <w:szCs w:val="24"/>
        </w:rPr>
        <w:instrText xml:space="preserve"> ADDIN ZOTERO_ITEM CSL_CITATION {"citationID":"sfZJlJCR","properties":{"formattedCitation":"(Larsson et al. 2005; Murray et al. 2021; Riffaud, Rucks, and Ouellette 2023)","plainCitation":"(Larsson et al. 2005; Murray et al. 2021; Riffaud, Rucks, and Ouellette 2023)","noteIndex":0},"citationItems":[{"id":449,"uris":["http://zotero.org/users/10474456/items/NKZKP5G7"],"itemData":{"id":449,"type":"article-journal","abstract":"Francisella tularensis is one of the most infectious human pathogens known. In the past, both the former Soviet Union and the US had programs to develop weapons containing the bacterium. We report the complete genome sequence of a highly virulent isolate of F. tularensis (1,892,819 bp). The sequence uncovers previously uncharacterized genes encoding type IV pili, a surface polysaccharide and iron-acquisition systems. Several virulence-associated genes were located in a putative pathogenicity island, which was duplicated in the genome. More than 10% of the putative coding sequences contained insertion-deletion or substitution mutations and seemed to be deteriorating. The genome is rich in IS elements, including IS630 Tc-1 mariner family transposons, which are not expected in a prokaryote. We used a computational method for predicting metabolic pathways and found an unexpectedly high proportion of disrupted pathways, explaining the fastidious nutritional requirements of the bacterium. The loss of biosynthetic pathways indicates that F. tularensis is an obligate host-dependent bacterium in its natural life cycle. Our results have implications for our understanding of how highly virulent human pathogens evolve and will expedite strategies to combat them.","container-title":"Nature Genetics","DOI":"10.1038/ng1499","ISSN":"1061-4036","issue":"2","journalAbbreviation":"Nat Genet","language":"eng","note":"PMID: 15640799","page":"153-159","source":"PubMed","title":"The complete genome sequence of Francisella tularensis, the causative agent of tularemia","volume":"37","author":[{"family":"Larsson","given":"Pär"},{"family":"Oyston","given":"Petra C. F."},{"family":"Chain","given":"Patrick"},{"family":"Chu","given":"May C."},{"family":"Duffield","given":"Melanie"},{"family":"Fuxelius","given":"Hans-Henrik"},{"family":"Garcia","given":"Emilio"},{"family":"Hälltorp","given":"Greger"},{"family":"Johansson","given":"Daniel"},{"family":"Isherwood","given":"Karen E."},{"family":"Karp","given":"Peter D."},{"family":"Larsson","given":"Eva"},{"family":"Liu","given":"Ying"},{"family":"Michell","given":"Stephen"},{"family":"Prior","given":"Joann"},{"family":"Prior","given":"Richard"},{"family":"Malfatti","given":"Stephanie"},{"family":"Sjöstedt","given":"Anders"},{"family":"Svensson","given":"Kerstin"},{"family":"Thompson","given":"Nick"},{"family":"Vergez","given":"Lisa"},{"family":"Wagg","given":"Jonathan K."},{"family":"Wren","given":"Brendan W."},{"family":"Lindler","given":"Luther E."},{"family":"Andersson","given":"Siv G. E."},{"family":"Forsman","given":"Mats"},{"family":"Titball","given":"Richard W."}],"issued":{"date-parts":[["2005",2]]}}},{"id":147,"uris":["http://zotero.org/users/10474456/items/M425D5ER"],"itemData":{"id":147,"type":"article-journal","abstract":"Emerging bacterial pathogens threaten global health and food security, and so it is important to ask whether these transitions to pathogenicity have any common features. We present a systematic study of the claim that pathogenicity is associated with genome reduction and gene loss. We compare broad-scale patterns across all bacteria, with detailed analyses of Streptococcus suis, an emerging zoonotic pathogen of pigs, which has undergone multiple transitions between disease and carriage forms. We find that pathogenicity is consistently associated with reduced genome size across three scales of divergence (between species within genera, and between and within genetic clusters of S. suis). Although genome reduction is also found in mutualist and commensal bacterial endosymbionts, genome reduction in pathogens cannot be solely attributed to the features of their ecology that they share with these species, that is, host restriction or intracellularity. Moreover, other typical correlates of genome reduction in endosymbionts (reduced metabolic capacity, reduced GC content, and the transient expansion of nonfunctional elements) are not consistently observed in pathogens. Together, our results indicate that genome reduction is a consistent correlate of pathogenicity in bacteria.","container-title":"Molecular Biology and Evolution","DOI":"10.1093/molbev/msaa323","ISSN":"1537-1719","issue":"4","journalAbbreviation":"Molecular Biology and Evolution","page":"1570-1579","source":"Silverchair","title":"Genome Reduction Is Associated with Bacterial Pathogenicity across Different Scales of Temporal and Ecological Divergence","volume":"38","author":[{"family":"Murray","given":"Gemma G R"},{"family":"Charlesworth","given":"Jane"},{"family":"Miller","given":"Eric L"},{"family":"Casey","given":"Michael J"},{"family":"Lloyd","given":"Catrin T"},{"family":"Gottschalk","given":"Marcelo"},{"family":"Tucker","given":"Alexander W (Dan)"},{"family":"Welch","given":"John J"},{"family":"Weinert","given":"Lucy A"}],"issued":{"date-parts":[["2021",4,1]]}}},{"id":452,"uris":["http://zotero.org/users/10474456/items/4JES4QSI"],"itemData":{"id":452,"type":"article-journal","abstract":"In adapting to the intracellular niche, obligate intracellular bacteria usually undergo a reduction of genome size by eliminating genes not needed for intracellular survival. These losses can include, for example, genes involved in nutrient anabolic pathways or in stress response. Living inside a host cell offers a stable environment where intracellular bacteria can limit their exposure to extracellular effectors of the immune system and modulate or outright inhibit intracellular defense mechanisms. However, highlighting an area of vulnerability, these pathogens are dependent on the host cell for nutrients and are very sensitive to conditions that limit nutrient availability. Persistence is a common response shared by evolutionarily divergent bacteria to survive adverse conditions like nutrient deprivation. Development of persistence usually compromises successful antibiotic therapy of bacterial infections and is associated with chronic infections and long-term sequelae for the patients. During persistence, obligate intracellular pathogens are viable but not growing inside their host cell. They can survive for a long period of time such that, when the inducing stress is removed, reactivation of their growth cycles resumes. Given their reduced coding capacity, intracellular bacteria have adapted different response mechanisms. This review gives an overview of the strategies used by the obligate intracellular bacteria, where known, which, unlike model organisms such as E. coli, often lack toxin-antitoxin systems and the stringent response that have been linked to a persister phenotype and amino acid starvation states, respectively.","container-title":"Frontiers in Cellular and Infection Microbiology","ISSN":"2235-2988","source":"Frontiers","title":"Persistence of obligate intracellular pathogens: alternative strategies to overcome host-specific stresses","title-short":"Persistence of obligate intracellular pathogens","URL":"https://www.frontiersin.org/articles/10.3389/fcimb.2023.1185571","volume":"13","author":[{"family":"Riffaud","given":"Camille M."},{"family":"Rucks","given":"Elizabeth A."},{"family":"Ouellette","given":"Scot P."}],"accessed":{"date-parts":[["2023",8,2]]},"issued":{"date-parts":[["2023"]]}}}],"schema":"https://github.com/citation-style-language/schema/raw/master/csl-citation.json"} </w:instrText>
      </w:r>
      <w:r w:rsidR="004234FD" w:rsidRPr="00430ECF">
        <w:rPr>
          <w:rFonts w:cs="Arial"/>
          <w:szCs w:val="24"/>
        </w:rPr>
        <w:fldChar w:fldCharType="separate"/>
      </w:r>
      <w:r w:rsidR="00A15FF7" w:rsidRPr="00A15FF7">
        <w:rPr>
          <w:rFonts w:cs="Arial"/>
        </w:rPr>
        <w:t>(Larsson et al. 2005; Murray et al. 2021; Riffaud, Rucks, and Ouellette 2023)</w:t>
      </w:r>
      <w:r w:rsidR="004234FD" w:rsidRPr="00430ECF">
        <w:rPr>
          <w:rFonts w:cs="Arial"/>
          <w:szCs w:val="24"/>
        </w:rPr>
        <w:fldChar w:fldCharType="end"/>
      </w:r>
      <w:r w:rsidR="004234FD" w:rsidRPr="00430ECF">
        <w:rPr>
          <w:rFonts w:cs="Arial"/>
          <w:szCs w:val="24"/>
        </w:rPr>
        <w:t xml:space="preserve">. </w:t>
      </w:r>
    </w:p>
    <w:p w14:paraId="7B16BB4F" w14:textId="75761F7F" w:rsidR="00DE66A1" w:rsidRDefault="00DE66A1" w:rsidP="00501973">
      <w:pPr>
        <w:spacing w:line="480" w:lineRule="auto"/>
        <w:ind w:firstLine="450"/>
        <w:jc w:val="both"/>
        <w:rPr>
          <w:rFonts w:cs="Arial"/>
          <w:szCs w:val="24"/>
        </w:rPr>
      </w:pPr>
      <w:r w:rsidRPr="00430ECF">
        <w:rPr>
          <w:rFonts w:cs="Arial"/>
          <w:szCs w:val="24"/>
        </w:rPr>
        <w:lastRenderedPageBreak/>
        <w:t xml:space="preserve">The most abundant bS21 homolog in </w:t>
      </w:r>
      <w:r w:rsidRPr="00430ECF">
        <w:rPr>
          <w:rFonts w:cs="Arial"/>
          <w:i/>
          <w:iCs/>
          <w:szCs w:val="24"/>
        </w:rPr>
        <w:t xml:space="preserve">F. tularensis </w:t>
      </w:r>
      <w:r w:rsidRPr="00430ECF">
        <w:rPr>
          <w:rFonts w:cs="Arial"/>
          <w:szCs w:val="24"/>
        </w:rPr>
        <w:t xml:space="preserve">is bS21-2 </w:t>
      </w:r>
      <w:r w:rsidRPr="00430ECF">
        <w:rPr>
          <w:rFonts w:cs="Arial"/>
          <w:szCs w:val="24"/>
        </w:rPr>
        <w:fldChar w:fldCharType="begin"/>
      </w:r>
      <w:r w:rsidRPr="00430ECF">
        <w:rPr>
          <w:rFonts w:cs="Arial"/>
          <w:szCs w:val="24"/>
        </w:rPr>
        <w:instrText xml:space="preserve"> ADDIN ZOTERO_ITEM CSL_CITATION {"citationID":"a0DHBNox","properties":{"formattedCitation":"(Trautmann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Pr="00430ECF">
        <w:rPr>
          <w:rFonts w:cs="Arial"/>
          <w:szCs w:val="24"/>
        </w:rPr>
        <w:fldChar w:fldCharType="separate"/>
      </w:r>
      <w:r w:rsidRPr="00430ECF">
        <w:rPr>
          <w:rFonts w:cs="Arial"/>
          <w:szCs w:val="24"/>
        </w:rPr>
        <w:t>(Trautmann and Ramsey 2022)</w:t>
      </w:r>
      <w:r w:rsidRPr="00430ECF">
        <w:rPr>
          <w:rFonts w:cs="Arial"/>
          <w:szCs w:val="24"/>
        </w:rPr>
        <w:fldChar w:fldCharType="end"/>
      </w:r>
      <w:r w:rsidRPr="00430ECF">
        <w:rPr>
          <w:rFonts w:cs="Arial"/>
          <w:szCs w:val="24"/>
        </w:rPr>
        <w:t xml:space="preserve">. </w:t>
      </w:r>
      <w:r w:rsidR="00634C6C" w:rsidRPr="00430ECF">
        <w:rPr>
          <w:rFonts w:cs="Arial"/>
          <w:szCs w:val="24"/>
        </w:rPr>
        <w:t>This</w:t>
      </w:r>
      <w:r w:rsidRPr="00430ECF">
        <w:rPr>
          <w:rFonts w:cs="Arial"/>
          <w:szCs w:val="24"/>
        </w:rPr>
        <w:t xml:space="preserve"> homolog </w:t>
      </w:r>
      <w:r w:rsidR="00634C6C" w:rsidRPr="00430ECF">
        <w:rPr>
          <w:rFonts w:cs="Arial"/>
          <w:szCs w:val="24"/>
        </w:rPr>
        <w:t xml:space="preserve">is </w:t>
      </w:r>
      <w:r w:rsidR="0020057A" w:rsidRPr="00430ECF">
        <w:rPr>
          <w:rFonts w:cs="Arial"/>
          <w:szCs w:val="24"/>
        </w:rPr>
        <w:t xml:space="preserve">encoded </w:t>
      </w:r>
      <w:r w:rsidR="00501835">
        <w:rPr>
          <w:rFonts w:cs="Arial"/>
          <w:szCs w:val="24"/>
        </w:rPr>
        <w:t>in</w:t>
      </w:r>
      <w:r w:rsidR="00501835" w:rsidRPr="00430ECF">
        <w:rPr>
          <w:rFonts w:cs="Arial"/>
          <w:szCs w:val="24"/>
        </w:rPr>
        <w:t xml:space="preserve"> </w:t>
      </w:r>
      <w:r w:rsidR="00634C6C" w:rsidRPr="00430ECF">
        <w:rPr>
          <w:rFonts w:cs="Arial"/>
          <w:szCs w:val="24"/>
        </w:rPr>
        <w:t xml:space="preserve">the </w:t>
      </w:r>
      <w:r w:rsidR="00634C6C" w:rsidRPr="00430ECF">
        <w:rPr>
          <w:rFonts w:cs="Arial"/>
          <w:i/>
          <w:iCs/>
          <w:szCs w:val="24"/>
        </w:rPr>
        <w:t>F. tularensis</w:t>
      </w:r>
      <w:r w:rsidR="00634C6C" w:rsidRPr="00430ECF">
        <w:rPr>
          <w:rFonts w:cs="Arial"/>
          <w:szCs w:val="24"/>
        </w:rPr>
        <w:t xml:space="preserve"> </w:t>
      </w:r>
      <w:r w:rsidR="00A832D7">
        <w:rPr>
          <w:rFonts w:cs="Arial"/>
          <w:szCs w:val="24"/>
        </w:rPr>
        <w:t>MMS</w:t>
      </w:r>
      <w:r w:rsidRPr="00430ECF">
        <w:rPr>
          <w:rFonts w:cs="Arial"/>
          <w:szCs w:val="24"/>
        </w:rPr>
        <w:t xml:space="preserve"> operon</w:t>
      </w:r>
      <w:r w:rsidR="0020057A" w:rsidRPr="00430ECF">
        <w:rPr>
          <w:rFonts w:cs="Arial"/>
          <w:szCs w:val="24"/>
        </w:rPr>
        <w:t xml:space="preserve">, </w:t>
      </w:r>
      <w:r w:rsidR="00E234B2" w:rsidRPr="00430ECF">
        <w:rPr>
          <w:rFonts w:cs="Arial"/>
          <w:szCs w:val="24"/>
        </w:rPr>
        <w:t>w</w:t>
      </w:r>
      <w:r w:rsidR="00634C6C" w:rsidRPr="00430ECF">
        <w:rPr>
          <w:rFonts w:cs="Arial"/>
          <w:szCs w:val="24"/>
        </w:rPr>
        <w:t xml:space="preserve">hich includes an additional gene between </w:t>
      </w:r>
      <w:r w:rsidR="00634C6C" w:rsidRPr="00430ECF">
        <w:rPr>
          <w:rFonts w:cs="Arial"/>
          <w:i/>
          <w:iCs/>
          <w:szCs w:val="24"/>
        </w:rPr>
        <w:t>rpsU</w:t>
      </w:r>
      <w:r w:rsidR="00634C6C" w:rsidRPr="00430ECF">
        <w:rPr>
          <w:rFonts w:cs="Arial"/>
          <w:szCs w:val="24"/>
        </w:rPr>
        <w:t xml:space="preserve"> and </w:t>
      </w:r>
      <w:r w:rsidR="00634C6C" w:rsidRPr="00430ECF">
        <w:rPr>
          <w:rFonts w:cs="Arial"/>
          <w:i/>
          <w:iCs/>
          <w:szCs w:val="24"/>
        </w:rPr>
        <w:t>dnaG</w:t>
      </w:r>
      <w:r w:rsidR="00634C6C" w:rsidRPr="00430ECF">
        <w:rPr>
          <w:rFonts w:cs="Arial"/>
          <w:szCs w:val="24"/>
        </w:rPr>
        <w:t>,</w:t>
      </w:r>
      <w:r w:rsidR="00E234B2" w:rsidRPr="00430ECF">
        <w:rPr>
          <w:rFonts w:cs="Arial"/>
          <w:szCs w:val="24"/>
        </w:rPr>
        <w:t xml:space="preserve"> </w:t>
      </w:r>
      <w:r w:rsidR="00E234B2" w:rsidRPr="00430ECF">
        <w:rPr>
          <w:rFonts w:cs="Arial"/>
          <w:i/>
          <w:iCs/>
          <w:szCs w:val="24"/>
        </w:rPr>
        <w:t>yqeY</w:t>
      </w:r>
      <w:r w:rsidR="00B607B2">
        <w:rPr>
          <w:rFonts w:cs="Arial"/>
          <w:i/>
          <w:iCs/>
          <w:szCs w:val="24"/>
        </w:rPr>
        <w:t xml:space="preserve"> </w:t>
      </w:r>
      <w:r w:rsidR="00B607B2">
        <w:rPr>
          <w:rFonts w:cs="Arial"/>
          <w:szCs w:val="24"/>
        </w:rPr>
        <w:t>(Figure 2)</w:t>
      </w:r>
      <w:r w:rsidR="00E234B2" w:rsidRPr="00430ECF">
        <w:rPr>
          <w:rFonts w:cs="Arial"/>
          <w:i/>
          <w:iCs/>
          <w:szCs w:val="24"/>
        </w:rPr>
        <w:t xml:space="preserve">. </w:t>
      </w:r>
      <w:r w:rsidR="00E234B2" w:rsidRPr="00430ECF">
        <w:rPr>
          <w:rFonts w:cs="Arial"/>
          <w:szCs w:val="24"/>
        </w:rPr>
        <w:t>The protein YqeY</w:t>
      </w:r>
      <w:r w:rsidR="00E234B2" w:rsidRPr="00430ECF">
        <w:rPr>
          <w:rFonts w:cs="Arial"/>
          <w:i/>
          <w:iCs/>
          <w:szCs w:val="24"/>
        </w:rPr>
        <w:t xml:space="preserve"> </w:t>
      </w:r>
      <w:r w:rsidR="00E234B2" w:rsidRPr="00430ECF">
        <w:rPr>
          <w:rFonts w:cs="Arial"/>
          <w:szCs w:val="24"/>
        </w:rPr>
        <w:t>is thought to aid in accurately charging tRNAs (Deniziak et al., 2007).</w:t>
      </w:r>
      <w:r w:rsidR="00501973" w:rsidRPr="00430ECF">
        <w:rPr>
          <w:rFonts w:cs="Arial"/>
          <w:szCs w:val="24"/>
        </w:rPr>
        <w:t xml:space="preserve"> </w:t>
      </w:r>
      <w:r w:rsidR="008B5515">
        <w:rPr>
          <w:rFonts w:cs="Arial"/>
          <w:szCs w:val="24"/>
        </w:rPr>
        <w:t xml:space="preserve">Loss of </w:t>
      </w:r>
      <w:r w:rsidR="0020057A" w:rsidRPr="00430ECF">
        <w:rPr>
          <w:rFonts w:cs="Arial"/>
          <w:szCs w:val="24"/>
        </w:rPr>
        <w:t xml:space="preserve">bS21-2 </w:t>
      </w:r>
      <w:r w:rsidR="008B5515">
        <w:rPr>
          <w:rFonts w:cs="Arial"/>
          <w:szCs w:val="24"/>
        </w:rPr>
        <w:t xml:space="preserve">leads to an intramacrophage </w:t>
      </w:r>
      <w:r w:rsidR="0020057A" w:rsidRPr="00430ECF">
        <w:rPr>
          <w:rFonts w:cs="Arial"/>
          <w:szCs w:val="24"/>
        </w:rPr>
        <w:t xml:space="preserve">growth </w:t>
      </w:r>
      <w:r w:rsidR="008B5515">
        <w:rPr>
          <w:rFonts w:cs="Arial"/>
          <w:szCs w:val="24"/>
        </w:rPr>
        <w:t xml:space="preserve">defect </w:t>
      </w:r>
      <w:r w:rsidR="0020057A" w:rsidRPr="00430ECF">
        <w:rPr>
          <w:rFonts w:cs="Arial"/>
          <w:szCs w:val="24"/>
        </w:rPr>
        <w:t xml:space="preserve">and is implicated in </w:t>
      </w:r>
      <w:r w:rsidR="008B5515">
        <w:rPr>
          <w:rFonts w:cs="Arial"/>
          <w:szCs w:val="24"/>
        </w:rPr>
        <w:t>control of</w:t>
      </w:r>
      <w:r w:rsidR="0020057A" w:rsidRPr="00430ECF">
        <w:rPr>
          <w:rFonts w:cs="Arial"/>
          <w:szCs w:val="24"/>
        </w:rPr>
        <w:t xml:space="preserve"> translation </w:t>
      </w:r>
      <w:r w:rsidR="008B5515">
        <w:rPr>
          <w:rFonts w:cs="Arial"/>
          <w:szCs w:val="24"/>
        </w:rPr>
        <w:t>f</w:t>
      </w:r>
      <w:r w:rsidR="0020057A" w:rsidRPr="00430ECF">
        <w:rPr>
          <w:rFonts w:cs="Arial"/>
          <w:szCs w:val="24"/>
        </w:rPr>
        <w:t>o</w:t>
      </w:r>
      <w:r w:rsidR="008B5515">
        <w:rPr>
          <w:rFonts w:cs="Arial"/>
          <w:szCs w:val="24"/>
        </w:rPr>
        <w:t>r</w:t>
      </w:r>
      <w:r w:rsidR="0020057A" w:rsidRPr="00430ECF">
        <w:rPr>
          <w:rFonts w:cs="Arial"/>
          <w:szCs w:val="24"/>
        </w:rPr>
        <w:t xml:space="preserve"> certain proteins </w:t>
      </w:r>
      <w:r w:rsidR="0020057A" w:rsidRPr="00430ECF">
        <w:rPr>
          <w:rFonts w:cs="Arial"/>
          <w:szCs w:val="24"/>
        </w:rPr>
        <w:fldChar w:fldCharType="begin"/>
      </w:r>
      <w:r w:rsidR="0020057A" w:rsidRPr="00430ECF">
        <w:rPr>
          <w:rFonts w:cs="Arial"/>
          <w:szCs w:val="24"/>
        </w:rPr>
        <w:instrText xml:space="preserve"> ADDIN ZOTERO_ITEM CSL_CITATION {"citationID":"Sud96lCf","properties":{"formattedCitation":"(Trautmann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20057A" w:rsidRPr="00430ECF">
        <w:rPr>
          <w:rFonts w:cs="Arial"/>
          <w:szCs w:val="24"/>
        </w:rPr>
        <w:fldChar w:fldCharType="separate"/>
      </w:r>
      <w:r w:rsidR="0020057A" w:rsidRPr="00430ECF">
        <w:rPr>
          <w:rFonts w:cs="Arial"/>
          <w:szCs w:val="24"/>
        </w:rPr>
        <w:t>(Trautmann and Ramsey 2022)</w:t>
      </w:r>
      <w:r w:rsidR="0020057A" w:rsidRPr="00430ECF">
        <w:rPr>
          <w:rFonts w:cs="Arial"/>
          <w:szCs w:val="24"/>
        </w:rPr>
        <w:fldChar w:fldCharType="end"/>
      </w:r>
      <w:r w:rsidR="0020057A" w:rsidRPr="00430ECF">
        <w:rPr>
          <w:rFonts w:cs="Arial"/>
          <w:szCs w:val="24"/>
        </w:rPr>
        <w:t>.</w:t>
      </w:r>
    </w:p>
    <w:p w14:paraId="12D137C5" w14:textId="77777777" w:rsidR="00B607B2" w:rsidRDefault="00B607B2" w:rsidP="00B607B2">
      <w:pPr>
        <w:jc w:val="both"/>
      </w:pPr>
      <w:r w:rsidRPr="00B607B2">
        <w:rPr>
          <w:noProof/>
        </w:rPr>
        <w:drawing>
          <wp:inline distT="0" distB="0" distL="0" distR="0" wp14:anchorId="0549BE30" wp14:editId="7911D7BA">
            <wp:extent cx="5303520" cy="694690"/>
            <wp:effectExtent l="0" t="0" r="0" b="0"/>
            <wp:docPr id="1025" name="Picture 1024" descr="Shape&#10;&#10;Description automatically generated with low confidence">
              <a:extLst xmlns:a="http://schemas.openxmlformats.org/drawingml/2006/main">
                <a:ext uri="{FF2B5EF4-FFF2-40B4-BE49-F238E27FC236}">
                  <a16:creationId xmlns:a16="http://schemas.microsoft.com/office/drawing/2014/main" id="{7D451ED3-9EC3-3BDE-EA62-EB8BC2B766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 name="Picture 1024" descr="Shape&#10;&#10;Description automatically generated with low confidence">
                      <a:extLst>
                        <a:ext uri="{FF2B5EF4-FFF2-40B4-BE49-F238E27FC236}">
                          <a16:creationId xmlns:a16="http://schemas.microsoft.com/office/drawing/2014/main" id="{7D451ED3-9EC3-3BDE-EA62-EB8BC2B7662A}"/>
                        </a:ext>
                      </a:extLst>
                    </pic:cNvPr>
                    <pic:cNvPicPr>
                      <a:picLocks noChangeAspect="1"/>
                    </pic:cNvPicPr>
                  </pic:nvPicPr>
                  <pic:blipFill rotWithShape="1">
                    <a:blip r:embed="rId11" cstate="print">
                      <a:extLst>
                        <a:ext uri="{28A0092B-C50C-407E-A947-70E740481C1C}">
                          <a14:useLocalDpi xmlns:a14="http://schemas.microsoft.com/office/drawing/2010/main" val="0"/>
                        </a:ext>
                      </a:extLst>
                    </a:blip>
                    <a:srcRect t="20635" b="62732"/>
                    <a:stretch/>
                  </pic:blipFill>
                  <pic:spPr>
                    <a:xfrm>
                      <a:off x="0" y="0"/>
                      <a:ext cx="5303520" cy="694690"/>
                    </a:xfrm>
                    <a:prstGeom prst="rect">
                      <a:avLst/>
                    </a:prstGeom>
                  </pic:spPr>
                </pic:pic>
              </a:graphicData>
            </a:graphic>
          </wp:inline>
        </w:drawing>
      </w:r>
    </w:p>
    <w:p w14:paraId="5286A769" w14:textId="41D222A1" w:rsidR="00B607B2" w:rsidRPr="00B607B2" w:rsidRDefault="00B607B2" w:rsidP="00B607B2">
      <w:pPr>
        <w:spacing w:after="240"/>
        <w:jc w:val="both"/>
      </w:pPr>
      <w:r w:rsidRPr="00B607B2">
        <w:rPr>
          <w:b/>
          <w:bCs/>
        </w:rPr>
        <w:t xml:space="preserve">Figure 2. The </w:t>
      </w:r>
      <w:r w:rsidRPr="00B607B2">
        <w:rPr>
          <w:b/>
          <w:bCs/>
          <w:i/>
          <w:iCs/>
        </w:rPr>
        <w:t xml:space="preserve">rpsU2 </w:t>
      </w:r>
      <w:r w:rsidRPr="00B607B2">
        <w:rPr>
          <w:b/>
          <w:bCs/>
        </w:rPr>
        <w:t>operon structure.</w:t>
      </w:r>
      <w:r>
        <w:t xml:space="preserve"> The sequence of genes of the macromolecular synthesis (MMS) operon of </w:t>
      </w:r>
      <w:r>
        <w:rPr>
          <w:i/>
          <w:iCs/>
        </w:rPr>
        <w:t>F. tularensis</w:t>
      </w:r>
      <w:r w:rsidR="00B06998">
        <w:rPr>
          <w:i/>
          <w:iCs/>
        </w:rPr>
        <w:t xml:space="preserve"> </w:t>
      </w:r>
      <w:r w:rsidR="00B06998">
        <w:t>(not to scale)</w:t>
      </w:r>
      <w:r>
        <w:rPr>
          <w:i/>
          <w:iCs/>
        </w:rPr>
        <w:t xml:space="preserve">. </w:t>
      </w:r>
    </w:p>
    <w:p w14:paraId="2010A321" w14:textId="0DC637AF" w:rsidR="009D4DA7" w:rsidRPr="00671685" w:rsidRDefault="00E83EAB" w:rsidP="009D4DA7">
      <w:pPr>
        <w:spacing w:line="480" w:lineRule="auto"/>
        <w:rPr>
          <w:i/>
          <w:iCs/>
        </w:rPr>
      </w:pPr>
      <w:r>
        <w:rPr>
          <w:i/>
          <w:iCs/>
        </w:rPr>
        <w:t xml:space="preserve">The role of </w:t>
      </w:r>
      <w:r w:rsidR="009D4DA7" w:rsidRPr="00671685">
        <w:rPr>
          <w:i/>
          <w:iCs/>
        </w:rPr>
        <w:t>bS21-2 in F. tularensis</w:t>
      </w:r>
    </w:p>
    <w:p w14:paraId="0F3ABCFA" w14:textId="502776BA" w:rsidR="000804F8" w:rsidRDefault="008B7189" w:rsidP="008B7189">
      <w:pPr>
        <w:spacing w:line="480" w:lineRule="auto"/>
        <w:ind w:firstLine="450"/>
        <w:jc w:val="both"/>
        <w:rPr>
          <w:rFonts w:cs="Arial"/>
          <w:szCs w:val="24"/>
        </w:rPr>
      </w:pPr>
      <w:r>
        <w:rPr>
          <w:rFonts w:cs="Arial"/>
          <w:noProof/>
          <w:szCs w:val="24"/>
        </w:rPr>
        <w:t xml:space="preserve">A recent study by the Ramsey lab </w:t>
      </w:r>
      <w:r w:rsidR="000804F8" w:rsidRPr="000804F8">
        <w:rPr>
          <w:rFonts w:cs="Arial"/>
          <w:noProof/>
          <w:szCs w:val="24"/>
        </w:rPr>
        <w:t>compare</w:t>
      </w:r>
      <w:r>
        <w:rPr>
          <w:rFonts w:cs="Arial"/>
          <w:noProof/>
          <w:szCs w:val="24"/>
        </w:rPr>
        <w:t>d</w:t>
      </w:r>
      <w:r w:rsidR="000804F8" w:rsidRPr="000804F8">
        <w:rPr>
          <w:rFonts w:cs="Arial"/>
          <w:noProof/>
          <w:szCs w:val="24"/>
        </w:rPr>
        <w:t xml:space="preserve"> </w:t>
      </w:r>
      <w:r w:rsidR="000804F8" w:rsidRPr="000804F8">
        <w:rPr>
          <w:rFonts w:cs="Arial"/>
          <w:szCs w:val="24"/>
        </w:rPr>
        <w:t xml:space="preserve">wild-type </w:t>
      </w:r>
      <w:r w:rsidR="000804F8" w:rsidRPr="000804F8">
        <w:rPr>
          <w:rFonts w:cs="Arial"/>
          <w:i/>
          <w:iCs/>
          <w:szCs w:val="24"/>
        </w:rPr>
        <w:t>F. tularensis</w:t>
      </w:r>
      <w:r w:rsidR="000804F8" w:rsidRPr="000804F8">
        <w:rPr>
          <w:rFonts w:cs="Arial"/>
          <w:szCs w:val="24"/>
        </w:rPr>
        <w:t xml:space="preserve"> with cells lacking bS21-2</w:t>
      </w:r>
      <w:r>
        <w:rPr>
          <w:rFonts w:cs="Arial"/>
          <w:szCs w:val="24"/>
        </w:rPr>
        <w:t xml:space="preserve"> </w:t>
      </w:r>
      <w:r w:rsidR="00E83EAB">
        <w:rPr>
          <w:rFonts w:cs="Arial"/>
          <w:szCs w:val="24"/>
        </w:rPr>
        <w:t xml:space="preserve">and analyzed differences in both </w:t>
      </w:r>
      <w:r w:rsidR="000804F8" w:rsidRPr="000804F8">
        <w:rPr>
          <w:rFonts w:cs="Arial"/>
          <w:noProof/>
          <w:szCs w:val="24"/>
        </w:rPr>
        <w:t>protein</w:t>
      </w:r>
      <w:r w:rsidR="000804F8" w:rsidRPr="000804F8">
        <w:rPr>
          <w:rFonts w:cs="Arial"/>
          <w:szCs w:val="24"/>
        </w:rPr>
        <w:t xml:space="preserve"> and transcript abundance. This</w:t>
      </w:r>
      <w:r>
        <w:rPr>
          <w:rFonts w:cs="Arial"/>
          <w:szCs w:val="24"/>
        </w:rPr>
        <w:t xml:space="preserve"> </w:t>
      </w:r>
      <w:r w:rsidR="000804F8" w:rsidRPr="000804F8">
        <w:rPr>
          <w:rFonts w:cs="Arial"/>
          <w:szCs w:val="24"/>
        </w:rPr>
        <w:t xml:space="preserve">revealed that </w:t>
      </w:r>
      <w:r w:rsidR="00E83EAB">
        <w:rPr>
          <w:rFonts w:cs="Arial"/>
          <w:szCs w:val="24"/>
        </w:rPr>
        <w:t xml:space="preserve">loss of </w:t>
      </w:r>
      <w:r w:rsidR="000804F8" w:rsidRPr="000804F8">
        <w:rPr>
          <w:rFonts w:cs="Arial"/>
          <w:szCs w:val="24"/>
        </w:rPr>
        <w:t xml:space="preserve">bS21-2 </w:t>
      </w:r>
      <w:r w:rsidR="00E83EAB">
        <w:rPr>
          <w:rFonts w:cs="Arial"/>
          <w:szCs w:val="24"/>
        </w:rPr>
        <w:t xml:space="preserve">leads to changes in protein abundance for </w:t>
      </w:r>
      <w:r w:rsidR="000804F8" w:rsidRPr="000804F8">
        <w:rPr>
          <w:rFonts w:cs="Arial"/>
          <w:szCs w:val="24"/>
        </w:rPr>
        <w:t xml:space="preserve">162 genes </w:t>
      </w:r>
      <w:r w:rsidR="00E83EAB">
        <w:rPr>
          <w:rFonts w:cs="Arial"/>
          <w:szCs w:val="24"/>
        </w:rPr>
        <w:t>that cannot be explained by a</w:t>
      </w:r>
      <w:r w:rsidR="000804F8" w:rsidRPr="000804F8">
        <w:rPr>
          <w:rFonts w:cs="Arial"/>
          <w:szCs w:val="24"/>
        </w:rPr>
        <w:t xml:space="preserve"> concordant change in transcript abundance</w:t>
      </w:r>
      <w:r w:rsidR="00797184">
        <w:rPr>
          <w:rFonts w:cs="Arial"/>
          <w:szCs w:val="24"/>
        </w:rPr>
        <w:t xml:space="preserve"> </w:t>
      </w:r>
      <w:r w:rsidR="00E83EAB" w:rsidRPr="000804F8">
        <w:rPr>
          <w:rFonts w:cs="Arial"/>
          <w:szCs w:val="24"/>
        </w:rPr>
        <w:fldChar w:fldCharType="begin"/>
      </w:r>
      <w:r w:rsidR="00E83EAB">
        <w:rPr>
          <w:rFonts w:cs="Arial"/>
          <w:szCs w:val="24"/>
        </w:rPr>
        <w:instrText xml:space="preserve"> ADDIN ZOTERO_ITEM CSL_CITATION {"citationID":"xDBfGD64","properties":{"formattedCitation":"(Trautmann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E83EAB" w:rsidRPr="000804F8">
        <w:rPr>
          <w:rFonts w:cs="Arial"/>
          <w:szCs w:val="24"/>
        </w:rPr>
        <w:fldChar w:fldCharType="separate"/>
      </w:r>
      <w:r w:rsidR="00E83EAB" w:rsidRPr="008B7189">
        <w:rPr>
          <w:rFonts w:cs="Arial"/>
        </w:rPr>
        <w:t>(Trautmann and Ramsey 2022)</w:t>
      </w:r>
      <w:r w:rsidR="00E83EAB" w:rsidRPr="000804F8">
        <w:rPr>
          <w:rFonts w:cs="Arial"/>
          <w:szCs w:val="24"/>
        </w:rPr>
        <w:fldChar w:fldCharType="end"/>
      </w:r>
      <w:r w:rsidR="00E83EAB" w:rsidRPr="000804F8">
        <w:rPr>
          <w:rFonts w:cs="Arial"/>
          <w:szCs w:val="24"/>
        </w:rPr>
        <w:t xml:space="preserve"> (</w:t>
      </w:r>
      <w:r w:rsidR="00B607B2">
        <w:rPr>
          <w:rFonts w:cs="Arial"/>
          <w:szCs w:val="24"/>
        </w:rPr>
        <w:t>Figure 3</w:t>
      </w:r>
      <w:r w:rsidR="00E83EAB" w:rsidRPr="000804F8">
        <w:rPr>
          <w:rFonts w:cs="Arial"/>
          <w:szCs w:val="24"/>
        </w:rPr>
        <w:t>)</w:t>
      </w:r>
      <w:r w:rsidR="00E83EAB">
        <w:rPr>
          <w:rFonts w:cs="Arial"/>
          <w:szCs w:val="24"/>
        </w:rPr>
        <w:t>. These genes</w:t>
      </w:r>
      <w:r w:rsidR="000804F8" w:rsidRPr="000804F8">
        <w:rPr>
          <w:rFonts w:cs="Arial"/>
          <w:szCs w:val="24"/>
        </w:rPr>
        <w:t xml:space="preserve"> includ</w:t>
      </w:r>
      <w:r w:rsidR="00E83EAB">
        <w:rPr>
          <w:rFonts w:cs="Arial"/>
          <w:szCs w:val="24"/>
        </w:rPr>
        <w:t>e</w:t>
      </w:r>
      <w:r w:rsidR="000804F8" w:rsidRPr="000804F8">
        <w:rPr>
          <w:rFonts w:cs="Arial"/>
          <w:szCs w:val="24"/>
        </w:rPr>
        <w:t xml:space="preserve"> a number of critical virulence genes.</w:t>
      </w:r>
      <w:r>
        <w:rPr>
          <w:rFonts w:cs="Arial"/>
          <w:szCs w:val="24"/>
        </w:rPr>
        <w:t xml:space="preserve"> Further the study revealed that </w:t>
      </w:r>
      <w:r w:rsidR="00797184">
        <w:rPr>
          <w:rFonts w:cs="Arial"/>
          <w:szCs w:val="24"/>
        </w:rPr>
        <w:t xml:space="preserve">cells lacking </w:t>
      </w:r>
      <w:r>
        <w:rPr>
          <w:rFonts w:cs="Arial"/>
          <w:szCs w:val="24"/>
        </w:rPr>
        <w:t xml:space="preserve">bS21-2 </w:t>
      </w:r>
      <w:r w:rsidR="00BB08FD">
        <w:rPr>
          <w:rFonts w:cs="Arial"/>
          <w:szCs w:val="24"/>
        </w:rPr>
        <w:t>ha</w:t>
      </w:r>
      <w:r w:rsidR="00797184">
        <w:rPr>
          <w:rFonts w:cs="Arial"/>
          <w:szCs w:val="24"/>
        </w:rPr>
        <w:t>ve</w:t>
      </w:r>
      <w:r w:rsidR="00BB08FD">
        <w:rPr>
          <w:rFonts w:cs="Arial"/>
          <w:szCs w:val="24"/>
        </w:rPr>
        <w:t xml:space="preserve"> a reduced</w:t>
      </w:r>
      <w:r>
        <w:rPr>
          <w:rFonts w:cs="Arial"/>
          <w:szCs w:val="24"/>
        </w:rPr>
        <w:t xml:space="preserve"> ability to grow within macrophage. The data from this study </w:t>
      </w:r>
      <w:r w:rsidR="00E83EAB">
        <w:rPr>
          <w:rFonts w:cs="Arial"/>
          <w:szCs w:val="24"/>
        </w:rPr>
        <w:t xml:space="preserve">is consistent with a model in which </w:t>
      </w:r>
      <w:r>
        <w:rPr>
          <w:rFonts w:cs="Arial"/>
          <w:szCs w:val="24"/>
        </w:rPr>
        <w:t xml:space="preserve">bS21-2 </w:t>
      </w:r>
      <w:r w:rsidR="00E83EAB">
        <w:rPr>
          <w:rFonts w:cs="Arial"/>
          <w:szCs w:val="24"/>
        </w:rPr>
        <w:t xml:space="preserve">positively </w:t>
      </w:r>
      <w:r w:rsidR="00BB08FD">
        <w:rPr>
          <w:rFonts w:cs="Arial"/>
          <w:szCs w:val="24"/>
        </w:rPr>
        <w:t>influences</w:t>
      </w:r>
      <w:r w:rsidR="00E83EAB">
        <w:rPr>
          <w:rFonts w:cs="Arial"/>
          <w:szCs w:val="24"/>
        </w:rPr>
        <w:t xml:space="preserve"> translation of </w:t>
      </w:r>
      <w:r>
        <w:rPr>
          <w:rFonts w:cs="Arial"/>
          <w:szCs w:val="24"/>
        </w:rPr>
        <w:t xml:space="preserve">virulence proteins </w:t>
      </w:r>
      <w:r>
        <w:rPr>
          <w:rFonts w:cs="Arial"/>
          <w:szCs w:val="24"/>
        </w:rPr>
        <w:fldChar w:fldCharType="begin"/>
      </w:r>
      <w:r>
        <w:rPr>
          <w:rFonts w:cs="Arial"/>
          <w:szCs w:val="24"/>
        </w:rPr>
        <w:instrText xml:space="preserve"> ADDIN ZOTERO_ITEM CSL_CITATION {"citationID":"9Vanlpbr","properties":{"formattedCitation":"(Trautmann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Pr>
          <w:rFonts w:cs="Arial"/>
          <w:szCs w:val="24"/>
        </w:rPr>
        <w:fldChar w:fldCharType="separate"/>
      </w:r>
      <w:r w:rsidRPr="008B7189">
        <w:rPr>
          <w:rFonts w:cs="Arial"/>
        </w:rPr>
        <w:t>(Trautmann and Ramsey 2022)</w:t>
      </w:r>
      <w:r>
        <w:rPr>
          <w:rFonts w:cs="Arial"/>
          <w:szCs w:val="24"/>
        </w:rPr>
        <w:fldChar w:fldCharType="end"/>
      </w:r>
      <w:r>
        <w:rPr>
          <w:rFonts w:cs="Arial"/>
          <w:szCs w:val="24"/>
        </w:rPr>
        <w:t>.</w:t>
      </w:r>
    </w:p>
    <w:p w14:paraId="538B105F" w14:textId="25FF9B1A" w:rsidR="000804F8" w:rsidRDefault="00F87BA2" w:rsidP="000804F8">
      <w:pPr>
        <w:spacing w:line="480" w:lineRule="auto"/>
        <w:rPr>
          <w:u w:val="single"/>
        </w:rPr>
      </w:pPr>
      <w:r>
        <w:rPr>
          <w:noProof/>
        </w:rPr>
        <w:lastRenderedPageBreak/>
        <mc:AlternateContent>
          <mc:Choice Requires="wps">
            <w:drawing>
              <wp:anchor distT="0" distB="0" distL="114300" distR="114300" simplePos="0" relativeHeight="251659264" behindDoc="0" locked="0" layoutInCell="1" allowOverlap="1" wp14:anchorId="5F5B3EB2" wp14:editId="68E96095">
                <wp:simplePos x="0" y="0"/>
                <wp:positionH relativeFrom="column">
                  <wp:posOffset>2674620</wp:posOffset>
                </wp:positionH>
                <wp:positionV relativeFrom="paragraph">
                  <wp:posOffset>2606040</wp:posOffset>
                </wp:positionV>
                <wp:extent cx="175260" cy="175260"/>
                <wp:effectExtent l="0" t="0" r="15240" b="15240"/>
                <wp:wrapNone/>
                <wp:docPr id="1725888535" name="Oval 2"/>
                <wp:cNvGraphicFramePr/>
                <a:graphic xmlns:a="http://schemas.openxmlformats.org/drawingml/2006/main">
                  <a:graphicData uri="http://schemas.microsoft.com/office/word/2010/wordprocessingShape">
                    <wps:wsp>
                      <wps:cNvSpPr/>
                      <wps:spPr>
                        <a:xfrm>
                          <a:off x="0" y="0"/>
                          <a:ext cx="175260" cy="175260"/>
                        </a:xfrm>
                        <a:prstGeom prst="ellipse">
                          <a:avLst/>
                        </a:prstGeom>
                        <a:noFill/>
                        <a:ln w="952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61044FF" id="Oval 2" o:spid="_x0000_s1026" style="position:absolute;margin-left:210.6pt;margin-top:205.2pt;width:13.8pt;height:13.8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" filled="f" strokecolor="red">
                <v:stroke joinstyle="miter"/>
              </v:oval>
            </w:pict>
          </mc:Fallback>
        </mc:AlternateContent>
      </w:r>
      <w:r w:rsidR="000804F8" w:rsidRPr="000804F8">
        <w:rPr>
          <w:noProof/>
        </w:rPr>
        <w:drawing>
          <wp:inline distT="0" distB="0" distL="0" distR="0" wp14:anchorId="2CDDDEE5" wp14:editId="35070D9F">
            <wp:extent cx="3024405" cy="4326916"/>
            <wp:effectExtent l="0" t="0" r="0" b="0"/>
            <wp:docPr id="8316817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32399" cy="4338352"/>
                    </a:xfrm>
                    <a:prstGeom prst="rect">
                      <a:avLst/>
                    </a:prstGeom>
                    <a:noFill/>
                  </pic:spPr>
                </pic:pic>
              </a:graphicData>
            </a:graphic>
          </wp:inline>
        </w:drawing>
      </w:r>
    </w:p>
    <w:p w14:paraId="334DC56F" w14:textId="1F6349B9" w:rsidR="000804F8" w:rsidRPr="000804F8" w:rsidRDefault="00B607B2" w:rsidP="008B7189">
      <w:pPr>
        <w:spacing w:after="240"/>
        <w:jc w:val="both"/>
      </w:pPr>
      <w:r>
        <w:rPr>
          <w:b/>
          <w:bCs/>
        </w:rPr>
        <w:t>Figure 3</w:t>
      </w:r>
      <w:r w:rsidR="000804F8" w:rsidRPr="000804F8">
        <w:rPr>
          <w:b/>
          <w:bCs/>
        </w:rPr>
        <w:t>. Cells lacking bS21-2 have changes in protein abundance that cannot be explained by changes in transcript abundance.</w:t>
      </w:r>
      <w:r w:rsidR="000804F8" w:rsidRPr="000804F8">
        <w:t xml:space="preserve"> </w:t>
      </w:r>
      <w:r w:rsidR="00F87BA2">
        <w:t xml:space="preserve">Dots indicate genes. </w:t>
      </w:r>
      <w:r w:rsidR="000804F8" w:rsidRPr="000804F8">
        <w:t>Log</w:t>
      </w:r>
      <w:r w:rsidR="000804F8" w:rsidRPr="000804F8">
        <w:rPr>
          <w:vertAlign w:val="subscript"/>
        </w:rPr>
        <w:t>2</w:t>
      </w:r>
      <w:r w:rsidR="004F3DFF" w:rsidRPr="00256073">
        <w:t>-transformed</w:t>
      </w:r>
      <w:r w:rsidR="000804F8" w:rsidRPr="000804F8">
        <w:t xml:space="preserve"> fold change of </w:t>
      </w:r>
      <w:r w:rsidR="004F3DFF">
        <w:t>transcript abundances (x-axis</w:t>
      </w:r>
      <w:r w:rsidR="000804F8" w:rsidRPr="000804F8">
        <w:t xml:space="preserve"> versus log</w:t>
      </w:r>
      <w:r w:rsidR="000804F8" w:rsidRPr="00256073">
        <w:rPr>
          <w:vertAlign w:val="subscript"/>
        </w:rPr>
        <w:t>2</w:t>
      </w:r>
      <w:r w:rsidR="004F3DFF" w:rsidRPr="00AA7C3C">
        <w:t>-transformed</w:t>
      </w:r>
      <w:r w:rsidR="000804F8" w:rsidRPr="000804F8">
        <w:t xml:space="preserve"> fold change of protein abundance</w:t>
      </w:r>
      <w:r w:rsidR="004F3DFF">
        <w:t>s</w:t>
      </w:r>
      <w:r w:rsidR="000804F8" w:rsidRPr="000804F8">
        <w:t xml:space="preserve"> </w:t>
      </w:r>
      <w:r w:rsidR="004F3DFF">
        <w:t xml:space="preserve">(y-axis) </w:t>
      </w:r>
      <w:r w:rsidR="000804F8" w:rsidRPr="000804F8">
        <w:t>between wild-type and Δ</w:t>
      </w:r>
      <w:r w:rsidR="000804F8" w:rsidRPr="00256073">
        <w:rPr>
          <w:i/>
          <w:iCs/>
        </w:rPr>
        <w:t>rpsU2</w:t>
      </w:r>
      <w:r w:rsidR="000804F8" w:rsidRPr="000804F8">
        <w:t xml:space="preserve"> cells. The</w:t>
      </w:r>
      <w:r w:rsidR="00033821">
        <w:t xml:space="preserve"> dot representing the</w:t>
      </w:r>
      <w:r w:rsidR="000804F8" w:rsidRPr="000804F8">
        <w:t xml:space="preserve"> gene </w:t>
      </w:r>
      <w:r w:rsidR="000804F8" w:rsidRPr="00256073">
        <w:rPr>
          <w:i/>
          <w:iCs/>
        </w:rPr>
        <w:t>yqeY</w:t>
      </w:r>
      <w:r w:rsidR="000804F8" w:rsidRPr="000804F8">
        <w:t xml:space="preserve"> is indicated in a red circle </w:t>
      </w:r>
      <w:r w:rsidR="000804F8">
        <w:fldChar w:fldCharType="begin"/>
      </w:r>
      <w:r w:rsidR="000804F8">
        <w:instrText xml:space="preserve"> ADDIN ZOTERO_ITEM CSL_CITATION {"citationID":"dowLgzzX","properties":{"formattedCitation":"(Trautmann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0804F8">
        <w:fldChar w:fldCharType="separate"/>
      </w:r>
      <w:r w:rsidR="000804F8" w:rsidRPr="000804F8">
        <w:rPr>
          <w:rFonts w:cs="Arial"/>
        </w:rPr>
        <w:t>(Trautmann and Ramsey 2022)</w:t>
      </w:r>
      <w:r w:rsidR="000804F8">
        <w:fldChar w:fldCharType="end"/>
      </w:r>
      <w:r w:rsidR="000804F8">
        <w:t>.</w:t>
      </w:r>
    </w:p>
    <w:p w14:paraId="4049E457" w14:textId="0324C7C6" w:rsidR="008B7189" w:rsidRDefault="0038061C" w:rsidP="003F2436">
      <w:pPr>
        <w:spacing w:line="480" w:lineRule="auto"/>
        <w:ind w:firstLine="450"/>
        <w:jc w:val="both"/>
        <w:rPr>
          <w:rFonts w:cs="Arial"/>
          <w:szCs w:val="24"/>
        </w:rPr>
      </w:pPr>
      <w:r>
        <w:rPr>
          <w:rFonts w:cs="Arial"/>
          <w:szCs w:val="24"/>
        </w:rPr>
        <w:t xml:space="preserve">We propose a general model in which each bS21 homolog is able to independently associate with ribosomes, and subsequently preferentially </w:t>
      </w:r>
      <w:r w:rsidR="00A61BE8">
        <w:rPr>
          <w:rFonts w:cs="Arial"/>
          <w:szCs w:val="24"/>
        </w:rPr>
        <w:t>initiate</w:t>
      </w:r>
      <w:r>
        <w:rPr>
          <w:rFonts w:cs="Arial"/>
          <w:szCs w:val="24"/>
        </w:rPr>
        <w:t xml:space="preserve"> translation of certain transcripts. With regard to bS21-2, we have determined that bS21-2 affects virulence protein abundance. However, t</w:t>
      </w:r>
      <w:r w:rsidR="008B7189">
        <w:rPr>
          <w:rFonts w:cs="Arial"/>
          <w:szCs w:val="24"/>
        </w:rPr>
        <w:t xml:space="preserve">he mechanism </w:t>
      </w:r>
      <w:r w:rsidR="00CB6EC9">
        <w:rPr>
          <w:rFonts w:cs="Arial"/>
          <w:szCs w:val="24"/>
        </w:rPr>
        <w:t>by which</w:t>
      </w:r>
      <w:r w:rsidR="008B7189">
        <w:rPr>
          <w:rFonts w:cs="Arial"/>
          <w:szCs w:val="24"/>
        </w:rPr>
        <w:t xml:space="preserve"> bS21-2 </w:t>
      </w:r>
      <w:r w:rsidR="00CB6EC9">
        <w:rPr>
          <w:rFonts w:cs="Arial"/>
          <w:szCs w:val="24"/>
        </w:rPr>
        <w:t xml:space="preserve">exerts its effects </w:t>
      </w:r>
      <w:r w:rsidR="008B7189">
        <w:rPr>
          <w:rFonts w:cs="Arial"/>
          <w:szCs w:val="24"/>
        </w:rPr>
        <w:t xml:space="preserve">on the proteome of </w:t>
      </w:r>
      <w:r w:rsidR="008B7189">
        <w:rPr>
          <w:rFonts w:cs="Arial"/>
          <w:i/>
          <w:iCs/>
          <w:szCs w:val="24"/>
        </w:rPr>
        <w:t xml:space="preserve">F. tularensis </w:t>
      </w:r>
      <w:r w:rsidR="00CB6EC9">
        <w:rPr>
          <w:rFonts w:cs="Arial"/>
          <w:szCs w:val="24"/>
        </w:rPr>
        <w:t>is an ongoing research topic</w:t>
      </w:r>
      <w:r w:rsidR="008B7189">
        <w:rPr>
          <w:rFonts w:cs="Arial"/>
          <w:szCs w:val="24"/>
        </w:rPr>
        <w:t xml:space="preserve">. </w:t>
      </w:r>
      <w:r w:rsidR="00CB6EC9">
        <w:rPr>
          <w:rFonts w:cs="Arial"/>
          <w:szCs w:val="24"/>
        </w:rPr>
        <w:t xml:space="preserve"> </w:t>
      </w:r>
      <w:r w:rsidR="00B06998">
        <w:rPr>
          <w:rFonts w:cs="Arial"/>
          <w:szCs w:val="24"/>
        </w:rPr>
        <w:t xml:space="preserve">We have determined that specific leader sequences do lead to </w:t>
      </w:r>
      <w:r w:rsidR="00B06998">
        <w:rPr>
          <w:rFonts w:cs="Arial"/>
          <w:szCs w:val="24"/>
        </w:rPr>
        <w:lastRenderedPageBreak/>
        <w:t>control by</w:t>
      </w:r>
      <w:r w:rsidR="00035BFA">
        <w:rPr>
          <w:rFonts w:cs="Arial"/>
          <w:szCs w:val="24"/>
        </w:rPr>
        <w:t xml:space="preserve"> bS21-2</w:t>
      </w:r>
      <w:r w:rsidR="00B06998">
        <w:rPr>
          <w:rFonts w:cs="Arial"/>
          <w:szCs w:val="24"/>
        </w:rPr>
        <w:t xml:space="preserve">, and that this control depends on an imperfect </w:t>
      </w:r>
      <w:r w:rsidR="008B7189">
        <w:rPr>
          <w:rFonts w:cs="Arial"/>
          <w:szCs w:val="24"/>
        </w:rPr>
        <w:t>Shine-D</w:t>
      </w:r>
      <w:r w:rsidR="00033821">
        <w:rPr>
          <w:rFonts w:cs="Arial"/>
          <w:szCs w:val="24"/>
        </w:rPr>
        <w:t>a</w:t>
      </w:r>
      <w:r w:rsidR="008B7189">
        <w:rPr>
          <w:rFonts w:cs="Arial"/>
          <w:szCs w:val="24"/>
        </w:rPr>
        <w:t>lgarno sequence</w:t>
      </w:r>
      <w:r w:rsidR="00035BFA">
        <w:rPr>
          <w:rFonts w:cs="Arial"/>
          <w:szCs w:val="24"/>
        </w:rPr>
        <w:t xml:space="preserve"> </w:t>
      </w:r>
      <w:r w:rsidR="003F2436">
        <w:rPr>
          <w:rFonts w:cs="Arial"/>
          <w:szCs w:val="24"/>
        </w:rPr>
        <w:fldChar w:fldCharType="begin"/>
      </w:r>
      <w:r w:rsidR="003F2436">
        <w:rPr>
          <w:rFonts w:cs="Arial"/>
          <w:szCs w:val="24"/>
        </w:rPr>
        <w:instrText xml:space="preserve"> ADDIN ZOTERO_ITEM CSL_CITATION {"citationID":"kkLz7V8o","properties":{"formattedCitation":"(Trautmann et al. 2023)","plainCitation":"(Trautmann et al. 2023)","noteIndex":0},"citationItems":[{"id":348,"uris":["http://zotero.org/users/10474456/items/FMW6BMF8"],"itemData":{"id":348,"type":"article-journal","container-title":"Manuscript submitted for publication","title":"Ribosome heterogeneity results in leader sequence-mediated regulation of protein synthesis in Francisella tularensis","author":[{"family":"Trautmann","given":"Hannah"},{"family":"Schmidt","given":"Sierra"},{"family":"Gregory","given":"Steven"},{"family":"Ramsey","given":"Kathryn"}],"issued":{"date-parts":[["2023"]]}}}],"schema":"https://github.com/citation-style-language/schema/raw/master/csl-citation.json"} </w:instrText>
      </w:r>
      <w:r w:rsidR="003F2436">
        <w:rPr>
          <w:rFonts w:cs="Arial"/>
          <w:szCs w:val="24"/>
        </w:rPr>
        <w:fldChar w:fldCharType="separate"/>
      </w:r>
      <w:r w:rsidR="003F2436" w:rsidRPr="003F2436">
        <w:rPr>
          <w:rFonts w:cs="Arial"/>
        </w:rPr>
        <w:t>(Trautmann et al. 2023)</w:t>
      </w:r>
      <w:r w:rsidR="003F2436">
        <w:rPr>
          <w:rFonts w:cs="Arial"/>
          <w:szCs w:val="24"/>
        </w:rPr>
        <w:fldChar w:fldCharType="end"/>
      </w:r>
      <w:r w:rsidR="003F2436">
        <w:rPr>
          <w:rFonts w:cs="Arial"/>
          <w:szCs w:val="24"/>
        </w:rPr>
        <w:t>.</w:t>
      </w:r>
    </w:p>
    <w:p w14:paraId="0D2A0A6D" w14:textId="77777777" w:rsidR="00405C64" w:rsidRDefault="00405C64" w:rsidP="00405C64">
      <w:pPr>
        <w:spacing w:line="480" w:lineRule="auto"/>
        <w:rPr>
          <w:i/>
          <w:iCs/>
        </w:rPr>
      </w:pPr>
      <w:r w:rsidRPr="00671685">
        <w:rPr>
          <w:i/>
          <w:iCs/>
        </w:rPr>
        <w:t>Ribosome heterogeneity in F. tularensis</w:t>
      </w:r>
    </w:p>
    <w:p w14:paraId="5D4F9F86" w14:textId="0E4D000E" w:rsidR="00504EEE" w:rsidRDefault="00504EEE" w:rsidP="00405C64">
      <w:pPr>
        <w:spacing w:line="480" w:lineRule="auto"/>
        <w:ind w:firstLine="450"/>
        <w:jc w:val="both"/>
      </w:pPr>
      <w:r>
        <w:t xml:space="preserve">While </w:t>
      </w:r>
      <w:r w:rsidR="00405C64">
        <w:t xml:space="preserve">zinc is known to </w:t>
      </w:r>
      <w:r w:rsidR="008F6D7F">
        <w:t>affect</w:t>
      </w:r>
      <w:r w:rsidR="00405C64">
        <w:t xml:space="preserve"> paralogous ribosomal protein</w:t>
      </w:r>
      <w:r w:rsidR="008F6D7F">
        <w:t xml:space="preserve"> abundances</w:t>
      </w:r>
      <w:r w:rsidR="00405C64">
        <w:t xml:space="preserve"> resulting in </w:t>
      </w:r>
      <w:r w:rsidR="00B06998">
        <w:t>changes in ribosome composition</w:t>
      </w:r>
      <w:r w:rsidR="00405C64">
        <w:t xml:space="preserve">, </w:t>
      </w:r>
      <w:r w:rsidR="00A45830">
        <w:t>none of</w:t>
      </w:r>
      <w:r w:rsidR="00405C64">
        <w:rPr>
          <w:i/>
          <w:iCs/>
        </w:rPr>
        <w:t xml:space="preserve"> </w:t>
      </w:r>
      <w:r w:rsidR="00405C64">
        <w:t xml:space="preserve">the three homologs of bS21 </w:t>
      </w:r>
      <w:r w:rsidR="00B06998">
        <w:t xml:space="preserve">in </w:t>
      </w:r>
      <w:r w:rsidR="00B06998" w:rsidRPr="0091565C">
        <w:rPr>
          <w:i/>
          <w:iCs/>
        </w:rPr>
        <w:t>F. tularensis</w:t>
      </w:r>
      <w:r w:rsidR="00B06998">
        <w:t xml:space="preserve"> </w:t>
      </w:r>
      <w:r w:rsidR="00A45830">
        <w:t>coordinat</w:t>
      </w:r>
      <w:r w:rsidR="00B06998">
        <w:t>e</w:t>
      </w:r>
      <w:r w:rsidR="00A45830">
        <w:t xml:space="preserve"> zin</w:t>
      </w:r>
      <w:r w:rsidR="009E595E">
        <w:t>c</w:t>
      </w:r>
      <w:r w:rsidR="009E595E">
        <w:rPr>
          <w:i/>
          <w:iCs/>
        </w:rPr>
        <w:t xml:space="preserve">. </w:t>
      </w:r>
      <w:r w:rsidR="00A45830">
        <w:t xml:space="preserve">Further, the regulatory network </w:t>
      </w:r>
      <w:r>
        <w:t xml:space="preserve">controlling production </w:t>
      </w:r>
      <w:r w:rsidR="00A45830">
        <w:t>of these three homologs</w:t>
      </w:r>
      <w:r>
        <w:t xml:space="preserve"> has</w:t>
      </w:r>
      <w:r w:rsidR="00A45830">
        <w:t xml:space="preserve"> not been previously investigated. </w:t>
      </w:r>
    </w:p>
    <w:p w14:paraId="20DEBABC" w14:textId="7C8B9C66" w:rsidR="00405C64" w:rsidRPr="008A4D6E" w:rsidRDefault="00504EEE" w:rsidP="00405C64">
      <w:pPr>
        <w:spacing w:line="480" w:lineRule="auto"/>
        <w:ind w:firstLine="450"/>
        <w:jc w:val="both"/>
      </w:pPr>
      <w:r>
        <w:t xml:space="preserve">Transcriptomic data of </w:t>
      </w:r>
      <w:r w:rsidR="009E595E">
        <w:t>wild-type cells, cells lacking bS21-2, and cells lacking bS21-2 with ectopic expression of each of these three homologs</w:t>
      </w:r>
      <w:r>
        <w:t xml:space="preserve"> reveals some interesting features regarding regulation of the gene encoding bS21-2, </w:t>
      </w:r>
      <w:r w:rsidRPr="0091565C">
        <w:rPr>
          <w:i/>
          <w:iCs/>
        </w:rPr>
        <w:t>rpsU2</w:t>
      </w:r>
      <w:r w:rsidR="009E595E">
        <w:t xml:space="preserve">. Specifically, in cells lacking bS21-2, there is </w:t>
      </w:r>
      <w:r>
        <w:t xml:space="preserve">a </w:t>
      </w:r>
      <w:r w:rsidR="009E595E">
        <w:t xml:space="preserve">substantial </w:t>
      </w:r>
      <w:r>
        <w:t xml:space="preserve">increase in </w:t>
      </w:r>
      <w:r w:rsidR="009E595E">
        <w:t xml:space="preserve">transcript </w:t>
      </w:r>
      <w:r>
        <w:t xml:space="preserve">abundance corresponding to the </w:t>
      </w:r>
      <w:r w:rsidRPr="0091565C">
        <w:rPr>
          <w:i/>
          <w:iCs/>
        </w:rPr>
        <w:t>rpsU2</w:t>
      </w:r>
      <w:r>
        <w:t xml:space="preserve"> operon in comparison to wild-type cells</w:t>
      </w:r>
      <w:r w:rsidR="009E595E">
        <w:t xml:space="preserve">. This </w:t>
      </w:r>
      <w:r>
        <w:t xml:space="preserve">increase in </w:t>
      </w:r>
      <w:r w:rsidRPr="0091565C">
        <w:rPr>
          <w:i/>
          <w:iCs/>
        </w:rPr>
        <w:t>rpsU2</w:t>
      </w:r>
      <w:r>
        <w:t xml:space="preserve"> operon transcript abundance can be</w:t>
      </w:r>
      <w:r w:rsidR="009E595E">
        <w:t xml:space="preserve"> complemented by</w:t>
      </w:r>
      <w:r>
        <w:t xml:space="preserve"> ectopic expression of</w:t>
      </w:r>
      <w:r w:rsidR="009E595E">
        <w:t xml:space="preserve"> all three </w:t>
      </w:r>
      <w:r>
        <w:t xml:space="preserve">bS21 </w:t>
      </w:r>
      <w:r w:rsidR="009E595E">
        <w:t xml:space="preserve">homologs. Given that in </w:t>
      </w:r>
      <w:r>
        <w:t xml:space="preserve">the </w:t>
      </w:r>
      <w:r w:rsidR="009E595E">
        <w:t>absence</w:t>
      </w:r>
      <w:r>
        <w:t xml:space="preserve"> of bS21-2</w:t>
      </w:r>
      <w:r w:rsidR="009E595E">
        <w:t xml:space="preserve">, the </w:t>
      </w:r>
      <w:r w:rsidRPr="0091565C">
        <w:rPr>
          <w:i/>
          <w:iCs/>
        </w:rPr>
        <w:t>rpsU2</w:t>
      </w:r>
      <w:r>
        <w:t xml:space="preserve"> </w:t>
      </w:r>
      <w:r w:rsidR="009E595E">
        <w:t xml:space="preserve">transcript abundance increases so drastically, it follows that bS21-2 is capable of </w:t>
      </w:r>
      <w:r w:rsidR="00AC6791">
        <w:t xml:space="preserve">repressing, or </w:t>
      </w:r>
      <w:r>
        <w:t>autogenously regulating</w:t>
      </w:r>
      <w:r w:rsidR="00AC6791">
        <w:t>,</w:t>
      </w:r>
      <w:r>
        <w:t xml:space="preserve"> its</w:t>
      </w:r>
      <w:r w:rsidR="009E595E">
        <w:t xml:space="preserve"> </w:t>
      </w:r>
      <w:r w:rsidR="00AC6791">
        <w:t xml:space="preserve">own </w:t>
      </w:r>
      <w:r w:rsidR="009E595E">
        <w:t xml:space="preserve">operon. </w:t>
      </w:r>
    </w:p>
    <w:p w14:paraId="1BAE8E8C" w14:textId="77777777" w:rsidR="00405C64" w:rsidRDefault="00405C64" w:rsidP="00405C64">
      <w:pPr>
        <w:spacing w:line="480" w:lineRule="auto"/>
      </w:pPr>
      <w:r>
        <w:rPr>
          <w:rFonts w:ascii="Helvetica" w:hAnsi="Helvetica"/>
          <w:noProof/>
          <w:szCs w:val="24"/>
        </w:rPr>
        <w:drawing>
          <wp:inline distT="0" distB="0" distL="0" distR="0" wp14:anchorId="2A227255" wp14:editId="728009DB">
            <wp:extent cx="5303520" cy="2123108"/>
            <wp:effectExtent l="0" t="0" r="0" b="0"/>
            <wp:docPr id="1" name="Picture 1" descr="Graphical user inte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chart&#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303520" cy="2123108"/>
                    </a:xfrm>
                    <a:prstGeom prst="rect">
                      <a:avLst/>
                    </a:prstGeom>
                  </pic:spPr>
                </pic:pic>
              </a:graphicData>
            </a:graphic>
          </wp:inline>
        </w:drawing>
      </w:r>
    </w:p>
    <w:p w14:paraId="129F58F2" w14:textId="10774866" w:rsidR="00405C64" w:rsidRPr="008A4D6E" w:rsidRDefault="00B607B2" w:rsidP="00405C64">
      <w:pPr>
        <w:pStyle w:val="Caption"/>
        <w:spacing w:after="240"/>
        <w:jc w:val="both"/>
        <w:rPr>
          <w:rFonts w:cs="Arial"/>
          <w:i w:val="0"/>
          <w:iCs w:val="0"/>
          <w:color w:val="000000" w:themeColor="text1"/>
          <w:sz w:val="22"/>
          <w:szCs w:val="22"/>
        </w:rPr>
      </w:pPr>
      <w:r>
        <w:rPr>
          <w:rFonts w:cs="Arial"/>
          <w:b/>
          <w:bCs/>
          <w:i w:val="0"/>
          <w:iCs w:val="0"/>
        </w:rPr>
        <w:lastRenderedPageBreak/>
        <w:t>Figure 4</w:t>
      </w:r>
      <w:r w:rsidR="00405C64" w:rsidRPr="00B607B2">
        <w:rPr>
          <w:rFonts w:cs="Arial"/>
          <w:b/>
          <w:bCs/>
        </w:rPr>
        <w:t>.</w:t>
      </w:r>
      <w:r w:rsidR="00405C64" w:rsidRPr="008A4D6E">
        <w:rPr>
          <w:rFonts w:cs="Arial"/>
        </w:rPr>
        <w:t xml:space="preserve"> </w:t>
      </w:r>
      <w:r w:rsidR="00405C64" w:rsidRPr="008A4D6E">
        <w:rPr>
          <w:rFonts w:cs="Arial"/>
          <w:b/>
          <w:bCs/>
          <w:i w:val="0"/>
          <w:iCs w:val="0"/>
          <w:color w:val="000000" w:themeColor="text1"/>
        </w:rPr>
        <w:t xml:space="preserve">RNA Seq data suggests that bS21-2, bS21-1, and bS21-3 negatively regulate the </w:t>
      </w:r>
      <w:r w:rsidR="00405C64" w:rsidRPr="008A4D6E">
        <w:rPr>
          <w:rFonts w:cs="Arial"/>
          <w:b/>
          <w:bCs/>
          <w:color w:val="000000" w:themeColor="text1"/>
        </w:rPr>
        <w:t>rpsU2</w:t>
      </w:r>
      <w:r w:rsidR="00405C64" w:rsidRPr="008A4D6E">
        <w:rPr>
          <w:rFonts w:cs="Arial"/>
          <w:b/>
          <w:bCs/>
          <w:i w:val="0"/>
          <w:iCs w:val="0"/>
          <w:color w:val="000000" w:themeColor="text1"/>
        </w:rPr>
        <w:t xml:space="preserve"> operon. </w:t>
      </w:r>
      <w:r w:rsidR="00405C64" w:rsidRPr="008A4D6E">
        <w:rPr>
          <w:rFonts w:cs="Arial"/>
          <w:i w:val="0"/>
          <w:iCs w:val="0"/>
          <w:color w:val="000000" w:themeColor="text1"/>
        </w:rPr>
        <w:t xml:space="preserve">Normalized transcript abundance reads from RNA-Seq experiments mapped to the </w:t>
      </w:r>
      <w:r w:rsidR="00405C64" w:rsidRPr="008A4D6E">
        <w:rPr>
          <w:rFonts w:cs="Arial"/>
          <w:color w:val="000000" w:themeColor="text1"/>
        </w:rPr>
        <w:t>rpsU2</w:t>
      </w:r>
      <w:r w:rsidR="00405C64" w:rsidRPr="008A4D6E">
        <w:rPr>
          <w:rFonts w:cs="Arial"/>
          <w:i w:val="0"/>
          <w:iCs w:val="0"/>
          <w:color w:val="000000" w:themeColor="text1"/>
        </w:rPr>
        <w:t xml:space="preserve"> operon. Data from cells with bS21-2 (LVS pF), cells lacking bS21-2 (LVS Δ</w:t>
      </w:r>
      <w:r w:rsidR="00405C64" w:rsidRPr="008A4D6E">
        <w:rPr>
          <w:rFonts w:cs="Arial"/>
          <w:color w:val="000000" w:themeColor="text1"/>
        </w:rPr>
        <w:t xml:space="preserve">rpsU2 </w:t>
      </w:r>
      <w:r w:rsidR="00405C64" w:rsidRPr="008A4D6E">
        <w:rPr>
          <w:rFonts w:cs="Arial"/>
          <w:i w:val="0"/>
          <w:iCs w:val="0"/>
          <w:color w:val="000000" w:themeColor="text1"/>
        </w:rPr>
        <w:t>pF), and cells lacking bS21-2 but ectopically expressing either bS21-2, bS21-1, or bS21-3 (LVS Δ</w:t>
      </w:r>
      <w:r w:rsidR="00405C64" w:rsidRPr="008A4D6E">
        <w:rPr>
          <w:rFonts w:cs="Arial"/>
          <w:color w:val="000000" w:themeColor="text1"/>
        </w:rPr>
        <w:t>rpsU2</w:t>
      </w:r>
      <w:r w:rsidR="00405C64" w:rsidRPr="008A4D6E">
        <w:rPr>
          <w:rFonts w:cs="Arial"/>
          <w:i w:val="0"/>
          <w:iCs w:val="0"/>
          <w:color w:val="000000" w:themeColor="text1"/>
        </w:rPr>
        <w:t xml:space="preserve"> pF-bS21-2-V, pF-bS21-1-V, pF-bS21-3-V, respectively) from a heterologous strong promoter.</w:t>
      </w:r>
    </w:p>
    <w:p w14:paraId="0623E55A" w14:textId="15F52931" w:rsidR="00405C64" w:rsidRPr="00671685" w:rsidRDefault="00A63070" w:rsidP="00405C64">
      <w:pPr>
        <w:spacing w:line="480" w:lineRule="auto"/>
        <w:jc w:val="both"/>
      </w:pPr>
      <w:r>
        <w:t>Unlike the zinc mediated r-protein regulation, t</w:t>
      </w:r>
      <w:r w:rsidR="00405C64">
        <w:t>h</w:t>
      </w:r>
      <w:r>
        <w:t>is</w:t>
      </w:r>
      <w:r w:rsidR="00405C64">
        <w:t xml:space="preserve"> autogenous regulation mechanism </w:t>
      </w:r>
      <w:r>
        <w:t>appears to be more</w:t>
      </w:r>
      <w:r w:rsidR="00405C64">
        <w:t xml:space="preserve"> similar to other ribosomal proteins. </w:t>
      </w:r>
    </w:p>
    <w:p w14:paraId="59729F08" w14:textId="77815C28" w:rsidR="005D525F" w:rsidRPr="005028D6" w:rsidRDefault="00A43BB9" w:rsidP="005028D6">
      <w:pPr>
        <w:spacing w:before="240" w:line="480" w:lineRule="auto"/>
        <w:rPr>
          <w:b/>
          <w:bCs/>
          <w:i/>
          <w:iCs/>
        </w:rPr>
      </w:pPr>
      <w:r w:rsidRPr="005028D6">
        <w:rPr>
          <w:b/>
          <w:bCs/>
        </w:rPr>
        <w:t>bS21-1 and bS21-3</w:t>
      </w:r>
      <w:r w:rsidR="00FC2721" w:rsidRPr="005028D6">
        <w:rPr>
          <w:b/>
          <w:bCs/>
        </w:rPr>
        <w:t xml:space="preserve"> in </w:t>
      </w:r>
      <w:r w:rsidR="00FC2721" w:rsidRPr="005028D6">
        <w:rPr>
          <w:b/>
          <w:bCs/>
          <w:i/>
          <w:iCs/>
        </w:rPr>
        <w:t>F. tularensis</w:t>
      </w:r>
    </w:p>
    <w:p w14:paraId="3FF6E460" w14:textId="12CA3145" w:rsidR="005D525F" w:rsidRPr="005D525F" w:rsidRDefault="005D525F" w:rsidP="00E92026">
      <w:pPr>
        <w:spacing w:line="480" w:lineRule="auto"/>
        <w:jc w:val="both"/>
        <w:rPr>
          <w:i/>
          <w:iCs/>
        </w:rPr>
      </w:pPr>
      <w:r>
        <w:rPr>
          <w:i/>
          <w:iCs/>
        </w:rPr>
        <w:t>rpsU1 and rpsU3 operon structure</w:t>
      </w:r>
    </w:p>
    <w:p w14:paraId="1A8A4B04" w14:textId="7BB29371" w:rsidR="00100860" w:rsidRDefault="00FC2721" w:rsidP="00100860">
      <w:pPr>
        <w:spacing w:line="480" w:lineRule="auto"/>
        <w:ind w:firstLine="450"/>
        <w:jc w:val="both"/>
      </w:pPr>
      <w:r>
        <w:t>L</w:t>
      </w:r>
      <w:r w:rsidR="00FA68D4">
        <w:t xml:space="preserve">ess </w:t>
      </w:r>
      <w:r>
        <w:t xml:space="preserve">is </w:t>
      </w:r>
      <w:r w:rsidR="00FA68D4">
        <w:t xml:space="preserve">known about </w:t>
      </w:r>
      <w:r w:rsidR="00100860">
        <w:t xml:space="preserve">the roles of </w:t>
      </w:r>
      <w:r w:rsidR="00FA68D4">
        <w:t xml:space="preserve">bS21-1 and bS21-3 </w:t>
      </w:r>
      <w:r w:rsidR="00100860">
        <w:t xml:space="preserve">in </w:t>
      </w:r>
      <w:r w:rsidR="00100860" w:rsidRPr="00256073">
        <w:rPr>
          <w:i/>
          <w:iCs/>
        </w:rPr>
        <w:t>F. tulare</w:t>
      </w:r>
      <w:r w:rsidR="00100860">
        <w:rPr>
          <w:i/>
          <w:iCs/>
        </w:rPr>
        <w:t>n</w:t>
      </w:r>
      <w:r w:rsidR="00100860" w:rsidRPr="00256073">
        <w:rPr>
          <w:i/>
          <w:iCs/>
        </w:rPr>
        <w:t>sis</w:t>
      </w:r>
      <w:r w:rsidR="00100860">
        <w:rPr>
          <w:i/>
          <w:iCs/>
        </w:rPr>
        <w:t xml:space="preserve"> </w:t>
      </w:r>
      <w:r w:rsidR="00100860" w:rsidRPr="00256073">
        <w:t xml:space="preserve">and limited information can be gleaned from the genomic context of </w:t>
      </w:r>
      <w:r w:rsidR="00100860">
        <w:t>their</w:t>
      </w:r>
      <w:r w:rsidR="00100860" w:rsidRPr="00256073">
        <w:t xml:space="preserve"> genes</w:t>
      </w:r>
      <w:r w:rsidR="008B666A">
        <w:t xml:space="preserve">. </w:t>
      </w:r>
      <w:r w:rsidR="00100860">
        <w:t xml:space="preserve">The bS21-3-encoding gene, </w:t>
      </w:r>
      <w:r w:rsidR="00100860">
        <w:rPr>
          <w:i/>
          <w:iCs/>
        </w:rPr>
        <w:t xml:space="preserve">rpsU3, </w:t>
      </w:r>
      <w:r w:rsidR="00100860">
        <w:t xml:space="preserve">does not reside </w:t>
      </w:r>
      <w:r w:rsidR="00F02142">
        <w:t>with</w:t>
      </w:r>
      <w:r w:rsidR="00100860">
        <w:t>in an open</w:t>
      </w:r>
      <w:r w:rsidR="00F02142">
        <w:t xml:space="preserve"> </w:t>
      </w:r>
      <w:r w:rsidR="00100860">
        <w:t>reading frame with other annotated genes</w:t>
      </w:r>
      <w:r w:rsidR="00F02142">
        <w:t>. T</w:t>
      </w:r>
      <w:r w:rsidR="00100860">
        <w:t xml:space="preserve">he gene encoding bS21-1 is encoded downstream of </w:t>
      </w:r>
      <w:r w:rsidR="00100860" w:rsidRPr="00256073">
        <w:rPr>
          <w:i/>
          <w:iCs/>
        </w:rPr>
        <w:t>cspC</w:t>
      </w:r>
      <w:r w:rsidR="00100860">
        <w:t xml:space="preserve">, a cold shock </w:t>
      </w:r>
      <w:r w:rsidR="005B1647">
        <w:t xml:space="preserve">family </w:t>
      </w:r>
      <w:r w:rsidR="00100860">
        <w:t>protein</w:t>
      </w:r>
      <w:r w:rsidR="00E746BF">
        <w:t xml:space="preserve"> </w:t>
      </w:r>
      <w:r w:rsidR="00E746BF">
        <w:fldChar w:fldCharType="begin"/>
      </w:r>
      <w:r w:rsidR="00E746BF">
        <w:instrText xml:space="preserve"> ADDIN ZOTERO_ITEM CSL_CITATION {"citationID":"JBTUgOc5","properties":{"formattedCitation":"(Trautmann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E746BF">
        <w:fldChar w:fldCharType="separate"/>
      </w:r>
      <w:r w:rsidR="00E746BF" w:rsidRPr="00E31C99">
        <w:rPr>
          <w:rFonts w:cs="Arial"/>
        </w:rPr>
        <w:t>(Trautmann and Ramsey 2022)</w:t>
      </w:r>
      <w:r w:rsidR="00E746BF">
        <w:fldChar w:fldCharType="end"/>
      </w:r>
      <w:r w:rsidR="00100860">
        <w:t xml:space="preserve">. </w:t>
      </w:r>
    </w:p>
    <w:p w14:paraId="7BC24B58" w14:textId="444B182C" w:rsidR="00A45830" w:rsidRPr="00A45830" w:rsidRDefault="00A45830" w:rsidP="00A45830">
      <w:pPr>
        <w:spacing w:line="480" w:lineRule="auto"/>
        <w:jc w:val="both"/>
        <w:rPr>
          <w:i/>
          <w:iCs/>
        </w:rPr>
      </w:pPr>
      <w:r w:rsidRPr="00A45830">
        <w:rPr>
          <w:i/>
          <w:iCs/>
        </w:rPr>
        <w:t>rpsU1-like operon in other species and F. tularensis</w:t>
      </w:r>
    </w:p>
    <w:p w14:paraId="7BC95172" w14:textId="4DC3AC6C" w:rsidR="00F140A6" w:rsidRDefault="00100860" w:rsidP="00E92026">
      <w:pPr>
        <w:spacing w:line="480" w:lineRule="auto"/>
        <w:ind w:firstLine="450"/>
        <w:jc w:val="both"/>
      </w:pPr>
      <w:r>
        <w:t xml:space="preserve">The location of </w:t>
      </w:r>
      <w:r w:rsidRPr="00256073">
        <w:rPr>
          <w:i/>
          <w:iCs/>
        </w:rPr>
        <w:t>rpsU1</w:t>
      </w:r>
      <w:r>
        <w:t xml:space="preserve"> adjacent to a cold shock protein is similar to the genetic organization of</w:t>
      </w:r>
      <w:r w:rsidR="00732F7B">
        <w:t xml:space="preserve"> one of two</w:t>
      </w:r>
      <w:r>
        <w:t xml:space="preserve"> </w:t>
      </w:r>
      <w:r w:rsidRPr="00256073">
        <w:rPr>
          <w:i/>
          <w:iCs/>
        </w:rPr>
        <w:t>rpsU</w:t>
      </w:r>
      <w:r w:rsidR="00732F7B">
        <w:rPr>
          <w:i/>
          <w:iCs/>
        </w:rPr>
        <w:t xml:space="preserve"> </w:t>
      </w:r>
      <w:r w:rsidR="00732F7B" w:rsidRPr="00256073">
        <w:t>homolog</w:t>
      </w:r>
      <w:r w:rsidR="00732F7B">
        <w:t>s</w:t>
      </w:r>
      <w:r>
        <w:t xml:space="preserve"> in </w:t>
      </w:r>
      <w:r w:rsidRPr="00FA68D4">
        <w:rPr>
          <w:i/>
          <w:iCs/>
        </w:rPr>
        <w:t>Sinorhizobium meliloti</w:t>
      </w:r>
      <w:r>
        <w:rPr>
          <w:i/>
          <w:iCs/>
        </w:rPr>
        <w:t>.</w:t>
      </w:r>
      <w:r>
        <w:t xml:space="preserve"> </w:t>
      </w:r>
      <w:r w:rsidR="008B666A">
        <w:rPr>
          <w:i/>
          <w:iCs/>
        </w:rPr>
        <w:t xml:space="preserve"> </w:t>
      </w:r>
      <w:r w:rsidR="00FA68D4">
        <w:t xml:space="preserve">Specifically, </w:t>
      </w:r>
      <w:r w:rsidR="00033821">
        <w:t xml:space="preserve">the </w:t>
      </w:r>
      <w:r w:rsidR="00033821" w:rsidRPr="00FA68D4">
        <w:rPr>
          <w:i/>
          <w:iCs/>
        </w:rPr>
        <w:t>S</w:t>
      </w:r>
      <w:r w:rsidR="00033821">
        <w:rPr>
          <w:i/>
          <w:iCs/>
        </w:rPr>
        <w:t>.</w:t>
      </w:r>
      <w:r w:rsidR="00033821" w:rsidRPr="00FA68D4">
        <w:rPr>
          <w:i/>
          <w:iCs/>
        </w:rPr>
        <w:t xml:space="preserve"> meliloti</w:t>
      </w:r>
      <w:r w:rsidR="00033821">
        <w:t xml:space="preserve"> </w:t>
      </w:r>
      <w:r w:rsidRPr="00256073">
        <w:rPr>
          <w:i/>
          <w:iCs/>
        </w:rPr>
        <w:t>rpsU</w:t>
      </w:r>
      <w:r>
        <w:t xml:space="preserve"> </w:t>
      </w:r>
      <w:r w:rsidR="00732F7B">
        <w:t xml:space="preserve">homolog </w:t>
      </w:r>
      <w:r>
        <w:t xml:space="preserve">is encoded in an operon downstream of two genes, </w:t>
      </w:r>
      <w:r w:rsidR="00FA68D4" w:rsidRPr="00B75281">
        <w:rPr>
          <w:i/>
          <w:iCs/>
        </w:rPr>
        <w:t>cspA</w:t>
      </w:r>
      <w:r>
        <w:t xml:space="preserve"> and </w:t>
      </w:r>
      <w:r w:rsidR="00732F7B">
        <w:t>ORF2 (now annotated as SM_RS10560)</w:t>
      </w:r>
      <w:r w:rsidR="00732F7B" w:rsidDel="00732F7B">
        <w:t xml:space="preserve"> </w:t>
      </w:r>
      <w:r w:rsidR="00FA68D4">
        <w:t xml:space="preserve">in </w:t>
      </w:r>
      <w:r w:rsidR="003237BB" w:rsidRPr="00FA68D4">
        <w:rPr>
          <w:i/>
          <w:iCs/>
        </w:rPr>
        <w:t>S</w:t>
      </w:r>
      <w:r w:rsidR="003237BB">
        <w:rPr>
          <w:i/>
          <w:iCs/>
        </w:rPr>
        <w:t>.</w:t>
      </w:r>
      <w:r w:rsidR="003237BB" w:rsidRPr="00FA68D4">
        <w:rPr>
          <w:i/>
          <w:iCs/>
        </w:rPr>
        <w:t xml:space="preserve"> </w:t>
      </w:r>
      <w:r w:rsidR="00FA68D4" w:rsidRPr="00FA68D4">
        <w:rPr>
          <w:i/>
          <w:iCs/>
        </w:rPr>
        <w:t>meliloti</w:t>
      </w:r>
      <w:r w:rsidR="00FA68D4">
        <w:t xml:space="preserve">. </w:t>
      </w:r>
      <w:r w:rsidR="00B75281">
        <w:t xml:space="preserve">ORF2 </w:t>
      </w:r>
      <w:r w:rsidR="00FF5859">
        <w:t>encodes</w:t>
      </w:r>
      <w:r w:rsidR="00B75281">
        <w:t xml:space="preserve"> a novel polypeptide sequence which the authors determined to </w:t>
      </w:r>
      <w:r w:rsidR="008F6D7F">
        <w:t>respond to</w:t>
      </w:r>
      <w:r w:rsidR="00B75281">
        <w:t xml:space="preserve"> cold shock</w:t>
      </w:r>
      <w:r w:rsidR="00836E76">
        <w:t xml:space="preserve"> </w:t>
      </w:r>
      <w:r w:rsidR="00FF5859">
        <w:t>al</w:t>
      </w:r>
      <w:r w:rsidR="00B75281">
        <w:t xml:space="preserve">though </w:t>
      </w:r>
      <w:r w:rsidR="00FF5859">
        <w:t>it does not have</w:t>
      </w:r>
      <w:r w:rsidR="00B75281">
        <w:t xml:space="preserve"> similarity to</w:t>
      </w:r>
      <w:r w:rsidR="00FF5859">
        <w:t xml:space="preserve"> other</w:t>
      </w:r>
      <w:r w:rsidR="00B75281">
        <w:t xml:space="preserve"> </w:t>
      </w:r>
      <w:r w:rsidR="00FF5859" w:rsidRPr="00A1374A">
        <w:t>Csp</w:t>
      </w:r>
      <w:r w:rsidR="00FF5859">
        <w:rPr>
          <w:i/>
          <w:iCs/>
        </w:rPr>
        <w:t xml:space="preserve"> </w:t>
      </w:r>
      <w:r w:rsidR="008F6D7F">
        <w:t xml:space="preserve">family </w:t>
      </w:r>
      <w:r w:rsidR="00FF5859">
        <w:t>proteins</w:t>
      </w:r>
      <w:r w:rsidR="00B75281">
        <w:t xml:space="preserve">. </w:t>
      </w:r>
      <w:r w:rsidR="00CC0BDE">
        <w:t>T</w:t>
      </w:r>
      <w:r w:rsidR="00B75281">
        <w:t xml:space="preserve">he authors determined that </w:t>
      </w:r>
      <w:r w:rsidR="00B75281">
        <w:rPr>
          <w:i/>
          <w:iCs/>
        </w:rPr>
        <w:t xml:space="preserve">cspA </w:t>
      </w:r>
      <w:r w:rsidR="00B75281">
        <w:t xml:space="preserve">could be </w:t>
      </w:r>
      <w:r w:rsidR="008F6D7F">
        <w:t>transcribed</w:t>
      </w:r>
      <w:r w:rsidR="00B75281">
        <w:t xml:space="preserve"> as a single mRNA </w:t>
      </w:r>
      <w:r w:rsidR="008F6D7F">
        <w:t>transcript</w:t>
      </w:r>
      <w:r w:rsidR="00B75281">
        <w:t xml:space="preserve">, or a polycistronic mRNA </w:t>
      </w:r>
      <w:r w:rsidR="004C1AFC">
        <w:t xml:space="preserve">corresponding to </w:t>
      </w:r>
      <w:r w:rsidR="00B75281">
        <w:t xml:space="preserve">the full operon. </w:t>
      </w:r>
      <w:r w:rsidR="00B75281">
        <w:lastRenderedPageBreak/>
        <w:t xml:space="preserve">These </w:t>
      </w:r>
      <w:r w:rsidR="00680E95">
        <w:t>transcripts</w:t>
      </w:r>
      <w:r w:rsidR="00B75281">
        <w:t xml:space="preserve"> both responded to cold shock, with a </w:t>
      </w:r>
      <w:r w:rsidR="00990E47">
        <w:t xml:space="preserve">larger </w:t>
      </w:r>
      <w:r w:rsidR="00B75281">
        <w:t>increase</w:t>
      </w:r>
      <w:r w:rsidR="00990E47">
        <w:t xml:space="preserve"> </w:t>
      </w:r>
      <w:r w:rsidR="00680E95">
        <w:t>of</w:t>
      </w:r>
      <w:r w:rsidR="00B75281">
        <w:t xml:space="preserve"> the polycistronic </w:t>
      </w:r>
      <w:r w:rsidR="00680E95">
        <w:t>transcript</w:t>
      </w:r>
      <w:r w:rsidR="00990E47">
        <w:t xml:space="preserve"> including the </w:t>
      </w:r>
      <w:r w:rsidR="00990E47" w:rsidRPr="0091565C">
        <w:rPr>
          <w:i/>
          <w:iCs/>
        </w:rPr>
        <w:t>rpsU</w:t>
      </w:r>
      <w:r w:rsidR="00990E47">
        <w:t xml:space="preserve"> mRNA (105-fold increase)</w:t>
      </w:r>
      <w:r w:rsidR="00B75281">
        <w:t>.</w:t>
      </w:r>
      <w:r w:rsidR="00A6178F">
        <w:t xml:space="preserve"> </w:t>
      </w:r>
      <w:r w:rsidR="00680E95">
        <w:t xml:space="preserve">In order to assess the regulation of the </w:t>
      </w:r>
      <w:r w:rsidR="00680E95">
        <w:rPr>
          <w:i/>
          <w:iCs/>
        </w:rPr>
        <w:t xml:space="preserve">cspA </w:t>
      </w:r>
      <w:r w:rsidR="00680E95">
        <w:t xml:space="preserve">operon, the authors created fusions of either the promoter or the promoter and most of the 5′ UTR  of the </w:t>
      </w:r>
      <w:r w:rsidR="00680E95">
        <w:rPr>
          <w:i/>
          <w:iCs/>
        </w:rPr>
        <w:t xml:space="preserve">cspA </w:t>
      </w:r>
      <w:r w:rsidR="00680E95">
        <w:t xml:space="preserve">operon fused to the </w:t>
      </w:r>
      <w:r w:rsidR="00680E95">
        <w:rPr>
          <w:i/>
          <w:iCs/>
        </w:rPr>
        <w:t xml:space="preserve">luxAB </w:t>
      </w:r>
      <w:r w:rsidR="00680E95">
        <w:t>reporter gene, integrated into the chromosome.</w:t>
      </w:r>
      <w:r w:rsidR="00BE075B">
        <w:t xml:space="preserve"> Through exposure to cold shock and subsequent total RNA Northern Blots,</w:t>
      </w:r>
      <w:r w:rsidR="00680E95">
        <w:t xml:space="preserve"> </w:t>
      </w:r>
      <w:r w:rsidR="00BE075B">
        <w:t>i</w:t>
      </w:r>
      <w:r w:rsidR="00A6178F">
        <w:t xml:space="preserve">t was determined that both the promoter and 5′ UTR lead to regulation of the </w:t>
      </w:r>
      <w:r w:rsidR="00A6178F">
        <w:rPr>
          <w:i/>
          <w:iCs/>
        </w:rPr>
        <w:t xml:space="preserve">cspA </w:t>
      </w:r>
      <w:r w:rsidR="00A6178F">
        <w:t xml:space="preserve">operon during cold shock, with </w:t>
      </w:r>
      <w:r w:rsidR="00186963">
        <w:t xml:space="preserve">more </w:t>
      </w:r>
      <w:r w:rsidR="00A6178F">
        <w:t xml:space="preserve">effect </w:t>
      </w:r>
      <w:r w:rsidR="003237BB">
        <w:t>due to the presence of</w:t>
      </w:r>
      <w:r w:rsidR="00A6178F">
        <w:t xml:space="preserve"> the 5′ UTR. Interestingly, the authors also noted that at 30°C, the 5′ UTR decreased transcript abundance, </w:t>
      </w:r>
      <w:r w:rsidR="003237BB">
        <w:t xml:space="preserve">which they </w:t>
      </w:r>
      <w:r w:rsidR="00B06FA7">
        <w:t>suggest</w:t>
      </w:r>
      <w:r w:rsidR="003237BB">
        <w:t xml:space="preserve"> may be due</w:t>
      </w:r>
      <w:r w:rsidR="00B06FA7">
        <w:t xml:space="preserve"> to</w:t>
      </w:r>
      <w:r w:rsidR="00A6178F">
        <w:t xml:space="preserve"> degradation. The authors speculated that </w:t>
      </w:r>
      <w:r w:rsidR="0038061C" w:rsidRPr="0038061C">
        <w:t>bS21</w:t>
      </w:r>
      <w:r w:rsidR="00A6178F">
        <w:rPr>
          <w:i/>
          <w:iCs/>
        </w:rPr>
        <w:t xml:space="preserve"> </w:t>
      </w:r>
      <w:r w:rsidR="00A6178F">
        <w:t>may increase the affinity of mRNAs with ribosomal machinery</w:t>
      </w:r>
      <w:r w:rsidR="00E746BF">
        <w:t>,</w:t>
      </w:r>
      <w:r w:rsidR="00A6178F">
        <w:t xml:space="preserve"> which is decreased during cold stress</w:t>
      </w:r>
      <w:r w:rsidR="00643173">
        <w:t>.</w:t>
      </w:r>
      <w:r w:rsidR="00A6178F">
        <w:t xml:space="preserve"> </w:t>
      </w:r>
      <w:r w:rsidR="0038061C">
        <w:t>Contrary to their hypothesis, the authors</w:t>
      </w:r>
      <w:r w:rsidR="00643173">
        <w:t xml:space="preserve"> did not observe a cold-shock susceptible phenotype in </w:t>
      </w:r>
      <w:r w:rsidR="003237BB" w:rsidRPr="00FA68D4">
        <w:rPr>
          <w:i/>
          <w:iCs/>
        </w:rPr>
        <w:t>S</w:t>
      </w:r>
      <w:r w:rsidR="003237BB">
        <w:rPr>
          <w:i/>
          <w:iCs/>
        </w:rPr>
        <w:t>.</w:t>
      </w:r>
      <w:r w:rsidR="003237BB" w:rsidRPr="00FA68D4">
        <w:rPr>
          <w:i/>
          <w:iCs/>
        </w:rPr>
        <w:t xml:space="preserve"> meliloti</w:t>
      </w:r>
      <w:r w:rsidR="003237BB">
        <w:t xml:space="preserve"> </w:t>
      </w:r>
      <w:r w:rsidR="00643173">
        <w:t xml:space="preserve">cells lacking </w:t>
      </w:r>
      <w:r w:rsidR="00643173">
        <w:rPr>
          <w:i/>
          <w:iCs/>
        </w:rPr>
        <w:t>rpsU</w:t>
      </w:r>
      <w:r w:rsidR="00643173">
        <w:t xml:space="preserve">, </w:t>
      </w:r>
      <w:r w:rsidR="00392D7A">
        <w:t xml:space="preserve">though </w:t>
      </w:r>
      <w:r w:rsidR="00643173">
        <w:t>they did note that another</w:t>
      </w:r>
      <w:r w:rsidR="00392D7A">
        <w:t xml:space="preserve"> </w:t>
      </w:r>
      <w:r w:rsidR="00392D7A">
        <w:rPr>
          <w:i/>
          <w:iCs/>
        </w:rPr>
        <w:t>rpsU</w:t>
      </w:r>
      <w:r w:rsidR="00643173">
        <w:t xml:space="preserve"> homolog was present in the genome and that it was possible that this homolog </w:t>
      </w:r>
      <w:r w:rsidR="00E746BF">
        <w:t xml:space="preserve">compensated </w:t>
      </w:r>
      <w:r w:rsidR="00643173">
        <w:t xml:space="preserve">for the deleted </w:t>
      </w:r>
      <w:r w:rsidR="00643173">
        <w:rPr>
          <w:i/>
          <w:iCs/>
        </w:rPr>
        <w:t>rpsU</w:t>
      </w:r>
      <w:r w:rsidR="00643173">
        <w:t xml:space="preserve"> </w:t>
      </w:r>
      <w:r w:rsidR="00643173">
        <w:fldChar w:fldCharType="begin"/>
      </w:r>
      <w:r w:rsidR="005D525F">
        <w:instrText xml:space="preserve"> ADDIN ZOTERO_ITEM CSL_CITATION {"citationID":"ynvvnTwr","properties":{"formattedCitation":"(O\\uc0\\u8217{}Connell and Thomashow 2000)","plainCitation":"(O’Connell and Thomashow 2000)","noteIndex":0},"citationItems":[{"id":179,"uris":["http://zotero.org/users/10474456/items/WKT2UXMK"],"itemData":{"id":179,"type":"webpage","abstract":"A homolog of the major eubacterial cold shock gene cspAwas identified in Sinorhizobium meliloti RM1021 byluxAB reporter transposon mutagenesis. Here we further characterize the organization and regulation of this locus. DNA sequence analysis indicated that the locus includes three open reading frames (ORFs) encoding homologs corresponding to CspA, a novel 10.6-kDa polypeptide designated ORF2, and a homolog of the Escherichia coli ribosomal protein S21. Transcription analysis indicated that this locus produced two different-sized cspA-hybridizing transcripts upon cold shock, a 400-nucleotide (nt) RNA encodingcspA alone and a 1,000-nt transcript encodingcspA-ORF2-rpsU. The sizes of the transcripts agreed with the location of the transcription start site determined by primer extension and the locations of two putative transcriptional terminators. The promoter of the cspA-ORF2-rpsU locus had −10 and −35 elements similar to the E. coliς70 consensus promoter and, like the cspAlocus of E. coli, included an AT-rich region upstream of the −35 hexamer. The promoter of the S. meliloti cspAlocus was found to impart cold shock-induced mRNA accumulation. In addition, the 5′-untranslated region (5′ UTR) was found to increase the fold induction of cspA transcripts after cold shock and depressed the level of luxAB mRNA prior to cold shock, another feature similar to cspA regulation in E. coli. No “cold box” was identified upstream of the S. meliloti cspA gene, however, and there was no other obvious sequence identity between the S. meliloti 5′ UTR and that of E. coli. DNA hybridization analysis indicated that outside the cspA-ORF2-rpsU cold shock locus there are several additional cspA-like genes and a secondrpsU homolog.","language":"en","note":"DOI: 10.1128/AEM.66.1.392-400.2000","title":"Transcriptional Organization and Regulation of a Polycistronic Cold Shock Operon in Sinorhizobium meliloti RM1021 Encoding Homologs of the Escherichia coli Major Cold Shock Gene cspA and Ribosomal Protein GenerpsU","URL":"https://journals.asm.org/doi/epdf/10.1128/AEM.66.1.392-400.2000","author":[{"family":"O'Connell","given":"Kevin"},{"family":"Thomashow","given":"Michael"}],"accessed":{"date-parts":[["2023",5,8]]},"issued":{"date-parts":[["2000",1,1]]}}}],"schema":"https://github.com/citation-style-language/schema/raw/master/csl-citation.json"} </w:instrText>
      </w:r>
      <w:r w:rsidR="00643173">
        <w:fldChar w:fldCharType="separate"/>
      </w:r>
      <w:r w:rsidR="005D525F" w:rsidRPr="005D525F">
        <w:rPr>
          <w:rFonts w:cs="Arial"/>
          <w:szCs w:val="24"/>
        </w:rPr>
        <w:t>(O’Connell and Thomashow 2000)</w:t>
      </w:r>
      <w:r w:rsidR="00643173">
        <w:fldChar w:fldCharType="end"/>
      </w:r>
      <w:r w:rsidR="00643173">
        <w:rPr>
          <w:i/>
          <w:iCs/>
        </w:rPr>
        <w:t xml:space="preserve">. </w:t>
      </w:r>
    </w:p>
    <w:p w14:paraId="6E0D3570" w14:textId="79C86B86" w:rsidR="002E2767" w:rsidRDefault="005D525F" w:rsidP="00E92026">
      <w:pPr>
        <w:spacing w:line="480" w:lineRule="auto"/>
        <w:ind w:firstLine="450"/>
        <w:jc w:val="both"/>
      </w:pPr>
      <w:r>
        <w:t xml:space="preserve">In </w:t>
      </w:r>
      <w:r>
        <w:rPr>
          <w:i/>
          <w:iCs/>
        </w:rPr>
        <w:t xml:space="preserve">F. tularensis, rpsU1 </w:t>
      </w:r>
      <w:r>
        <w:t xml:space="preserve">does not share an operon with </w:t>
      </w:r>
      <w:r w:rsidRPr="005D525F">
        <w:rPr>
          <w:i/>
          <w:iCs/>
        </w:rPr>
        <w:t>cspA</w:t>
      </w:r>
      <w:r>
        <w:rPr>
          <w:i/>
          <w:iCs/>
        </w:rPr>
        <w:t xml:space="preserve">, </w:t>
      </w:r>
      <w:r>
        <w:t xml:space="preserve">but rather </w:t>
      </w:r>
      <w:r w:rsidRPr="005D525F">
        <w:rPr>
          <w:i/>
          <w:iCs/>
        </w:rPr>
        <w:t>cspC</w:t>
      </w:r>
      <w:r>
        <w:rPr>
          <w:i/>
          <w:iCs/>
        </w:rPr>
        <w:t xml:space="preserve"> </w:t>
      </w:r>
      <w:r>
        <w:rPr>
          <w:i/>
          <w:iCs/>
        </w:rPr>
        <w:fldChar w:fldCharType="begin"/>
      </w:r>
      <w:r>
        <w:rPr>
          <w:i/>
          <w:iCs/>
        </w:rPr>
        <w:instrText xml:space="preserve"> ADDIN ZOTERO_ITEM CSL_CITATION {"citationID":"50B00QcA","properties":{"formattedCitation":"(Trautmann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Pr>
          <w:i/>
          <w:iCs/>
        </w:rPr>
        <w:fldChar w:fldCharType="separate"/>
      </w:r>
      <w:r w:rsidRPr="005D525F">
        <w:rPr>
          <w:rFonts w:cs="Arial"/>
        </w:rPr>
        <w:t>(Trautmann and Ramsey 2022)</w:t>
      </w:r>
      <w:r>
        <w:rPr>
          <w:i/>
          <w:iCs/>
        </w:rPr>
        <w:fldChar w:fldCharType="end"/>
      </w:r>
      <w:r>
        <w:rPr>
          <w:i/>
          <w:iCs/>
        </w:rPr>
        <w:t xml:space="preserve">. </w:t>
      </w:r>
      <w:r>
        <w:t>In</w:t>
      </w:r>
      <w:r>
        <w:rPr>
          <w:i/>
          <w:iCs/>
        </w:rPr>
        <w:t xml:space="preserve"> E. coli </w:t>
      </w:r>
      <w:r>
        <w:t xml:space="preserve">the </w:t>
      </w:r>
      <w:r w:rsidR="00B23E91">
        <w:t>C</w:t>
      </w:r>
      <w:r w:rsidR="00F140A6">
        <w:t>spC protein has been found to act as a t</w:t>
      </w:r>
      <w:r w:rsidR="00F140A6" w:rsidRPr="00F140A6">
        <w:t>ranscription antiterminator</w:t>
      </w:r>
      <w:r w:rsidR="00F140A6">
        <w:t>, and may down-regulat</w:t>
      </w:r>
      <w:r w:rsidR="00B23E91">
        <w:t>e</w:t>
      </w:r>
      <w:r w:rsidR="00F140A6">
        <w:t xml:space="preserve"> heat shock proteins </w:t>
      </w:r>
      <w:r w:rsidR="00F140A6">
        <w:fldChar w:fldCharType="begin"/>
      </w:r>
      <w:r w:rsidR="00F140A6">
        <w:instrText xml:space="preserve"> ADDIN ZOTERO_ITEM CSL_CITATION {"citationID":"L05S3t4D","properties":{"formattedCitation":"(Bae et al. 2000; Shenhar et al. 2009)","plainCitation":"(Bae et al. 2000; Shenhar et al. 2009)","noteIndex":0},"citationItems":[{"id":305,"uris":["http://zotero.org/users/10474456/items/DBULG6NA"],"itemData":{"id":305,"type":"article-journal","abstract":"CspA, the major cold-shock protein of Escherichia coli, is an RNA chaperone, which is thought to facilitate translation at low temperature by destabilizing mRNA structures. Here we demonstrate that CspA, as well as homologous RNA chaperones CspE and CspC, are transcription antiterminators. In vitro, the addition of physiological concentrations of recombinant CspA, CspE, or CspC decreased transcription termination at several intrinsic terminators and also decreased transcription pausing. In vivo, overexpression of cloned CspC and CspE at 37 degrees C was sufficient to induce transcription of the metY-rpsO operon genes nusA, infB, rbfA, and pnp located downstream of multiple transcription terminators. Similar induction of downstream metY-rpsO operon genes was observed at cold shock, a condition to which the cell responds by massive overproduction of CspA. The products of nusA, infB, rbfA, and pnp-NusA, IF2, RbfA, and PNP-are known to be induced at cold shock. We propose that the cold-shock induction of nusA, infB, rbfA, and pnp occurs through transcription antitermination, which is mediated by CspA and other cold shock-induced Csp proteins.","container-title":"Proceedings of the National Academy of Sciences of the United States of America","DOI":"10.1073/pnas.97.14.7784","ISSN":"0027-8424","issue":"14","journalAbbreviation":"Proc Natl Acad Sci U S A","language":"eng","note":"PMID: 10884409\nPMCID: PMC16622","page":"7784-7789","source":"PubMed","title":"Escherichia coli CspA-family RNA chaperones are transcription antiterminators","volume":"97","author":[{"family":"Bae","given":"W."},{"family":"Xia","given":"B."},{"family":"Inouye","given":"M."},{"family":"Severinov","given":"K."}],"issued":{"date-parts":[["2000",7,5]]}}},{"id":308,"uris":["http://zotero.org/users/10474456/items/SPTFDCX9"],"itemData":{"id":308,"type":"article-journal","abstract":"Bacteria respond to shift-up in temperature by activating the heat shock response - induction of a large number of heat shock genes. This response is essential for adaptation to the higher temperature and for acquiring thermotolerance. One unique feature of the heat shock response is its transient nature - shortly after the induction, the rate of synthesis of heat shock proteins decreases, even if the temperature remains high. Here we show that this shutoff is due to a decrease in the transcript stability of heat shock genes. We further show that the modulation of stability of mRNAs of heat shock genes is maintained by the cold shock protein C - CspC - previously shown to affect transcript stability of specific genes. Upon shifts to higher temperatures the level of this protein decreases due to proteolysis and aggregation, leading to a reduced stability of mRNAs of heat shock genes. The temperature-dependent modulation of transcript stability of heat shock genes constitutes a novel control of the bacterial response to temperature changes.","container-title":"Environmental Microbiology","DOI":"10.1111/j.1462-2920.2009.01993.x","ISSN":"1462-2920","issue":"12","journalAbbreviation":"Environ Microbiol","language":"eng","note":"PMID: 19624711","page":"2989-2997","source":"PubMed","title":"Adaptation of Escherichi coli to elevated temperatures involves a change in stability of heat shock gene transcripts","volume":"11","author":[{"family":"Shenhar","given":"Yotam"},{"family":"Rasouly","given":"Aviram"},{"family":"Biran","given":"Dvora"},{"family":"Ron","given":"Eliora Z."}],"issued":{"date-parts":[["2009",12]]}}}],"schema":"https://github.com/citation-style-language/schema/raw/master/csl-citation.json"} </w:instrText>
      </w:r>
      <w:r w:rsidR="00F140A6">
        <w:fldChar w:fldCharType="separate"/>
      </w:r>
      <w:r w:rsidR="00F140A6" w:rsidRPr="00F140A6">
        <w:rPr>
          <w:rFonts w:cs="Arial"/>
        </w:rPr>
        <w:t>(Bae et al. 2000; Shenhar et al. 2009)</w:t>
      </w:r>
      <w:r w:rsidR="00F140A6">
        <w:fldChar w:fldCharType="end"/>
      </w:r>
      <w:r w:rsidR="00F140A6">
        <w:t xml:space="preserve">. </w:t>
      </w:r>
      <w:r w:rsidR="00B23E91">
        <w:t>Additionally the production of C</w:t>
      </w:r>
      <w:r w:rsidR="00F140A6">
        <w:t xml:space="preserve">spC </w:t>
      </w:r>
      <w:r w:rsidR="00392D7A">
        <w:t xml:space="preserve">is </w:t>
      </w:r>
      <w:r w:rsidR="00B23E91">
        <w:t xml:space="preserve">not induced by </w:t>
      </w:r>
      <w:r w:rsidR="00F140A6">
        <w:t xml:space="preserve">cold-shock </w:t>
      </w:r>
      <w:r w:rsidR="00F140A6">
        <w:fldChar w:fldCharType="begin"/>
      </w:r>
      <w:r w:rsidR="00F140A6">
        <w:instrText xml:space="preserve"> ADDIN ZOTERO_ITEM CSL_CITATION {"citationID":"tk2aV9iz","properties":{"formattedCitation":"(Czapski and Trun 2014)","plainCitation":"(Czapski and Trun 2014)","noteIndex":0},"citationItems":[{"id":310,"uris":["http://zotero.org/users/10474456/items/RIHCTBG5"],"itemData":{"id":310,"type":"article-journal","abstract":"Cold-shock proteins (Csps) are a family of small nucleic acid-binding proteins found in 72% of sequenced bacterial genomes. Where it has been examined, at least one csp gene is required for cell viability. In Escherichia coli K-12, there are nine homologous csp genes named A-I. Regulation studies performed on individual members of this family have suggested that cspA, cspB, cspG, and cspI are cold-induced, cspC and cspE are constitutively expressed, cspD is stationary phase induced, and the induction patterns for cspF and cspH have yet to be determined. Aside from microarray studies, transcript levels from all nine csp genes have never been assayed using the same technique or in the same cells. The purpose of this study was to use quantitative RT-PCR to establish csp expression patterns for all nine csp genes at 37°C in defined rich and defined minimal media, and after a shift to 15°C for either 1h or 4h. We found that transcript levels for each of the csp genes changed throughout the growth curve. Transcripts for cspA, -B, and -E were more abundant than those detected for the other csp genes in defined rich medium. cspE mRNA levels in defined minimal medium were drastically higher than mRNA for the other csp genes. Of the nine csp genes, only cspI showed a significant increase in mRNA accumulation after cold-shock in defined rich medium. When mRNA accumulation was compared across the nine csp genes, there were more cspE transcripts in the cell than cspA, -B, -G, or -I transcripts after 1h cold-shock in either defined rich or defined minimal media. In defined minimal medium, transcription of cspA, -B, -G, and -I was induced after cold-shock.","container-title":"Gene","DOI":"10.1016/j.gene.2014.06.033","ISSN":"1879-0038","issue":"1","journalAbbreviation":"Gene","language":"eng","note":"PMID: 24952137","page":"91-97","source":"PubMed","title":"Expression of csp genes in E. coli K-12 in defined rich and defined minimal media during normal growth, and after cold-shock","volume":"547","author":[{"family":"Czapski","given":"Tiffaney R."},{"family":"Trun","given":"Nancy"}],"issued":{"date-parts":[["2014",8,15]]}}}],"schema":"https://github.com/citation-style-language/schema/raw/master/csl-citation.json"} </w:instrText>
      </w:r>
      <w:r w:rsidR="00F140A6">
        <w:fldChar w:fldCharType="separate"/>
      </w:r>
      <w:r w:rsidR="00F140A6" w:rsidRPr="00F140A6">
        <w:rPr>
          <w:rFonts w:cs="Arial"/>
        </w:rPr>
        <w:t>(Czapski and Trun 2014)</w:t>
      </w:r>
      <w:r w:rsidR="00F140A6">
        <w:fldChar w:fldCharType="end"/>
      </w:r>
      <w:r w:rsidR="00F140A6">
        <w:t xml:space="preserve">. </w:t>
      </w:r>
      <w:r w:rsidR="00B23E91">
        <w:t>W</w:t>
      </w:r>
      <w:r w:rsidR="00F140A6">
        <w:t xml:space="preserve">hile </w:t>
      </w:r>
      <w:r w:rsidR="00F140A6">
        <w:rPr>
          <w:i/>
          <w:iCs/>
        </w:rPr>
        <w:t xml:space="preserve">rpsU </w:t>
      </w:r>
      <w:r w:rsidR="00B23E91" w:rsidRPr="00256073">
        <w:t xml:space="preserve">genes </w:t>
      </w:r>
      <w:r w:rsidR="00F140A6">
        <w:t xml:space="preserve">in both </w:t>
      </w:r>
      <w:r w:rsidR="00F140A6" w:rsidRPr="00FA68D4">
        <w:rPr>
          <w:i/>
          <w:iCs/>
        </w:rPr>
        <w:t>S</w:t>
      </w:r>
      <w:r w:rsidR="00F140A6">
        <w:rPr>
          <w:i/>
          <w:iCs/>
        </w:rPr>
        <w:t>.</w:t>
      </w:r>
      <w:r w:rsidR="00F140A6" w:rsidRPr="00FA68D4">
        <w:rPr>
          <w:i/>
          <w:iCs/>
        </w:rPr>
        <w:t xml:space="preserve"> meliloti</w:t>
      </w:r>
      <w:r w:rsidR="00F140A6">
        <w:t xml:space="preserve"> </w:t>
      </w:r>
      <w:r w:rsidR="002E2767" w:rsidRPr="005D525F">
        <w:t>and</w:t>
      </w:r>
      <w:r w:rsidR="002E2767" w:rsidRPr="00671685">
        <w:t xml:space="preserve"> </w:t>
      </w:r>
      <w:r w:rsidR="00F140A6">
        <w:rPr>
          <w:i/>
          <w:iCs/>
        </w:rPr>
        <w:t xml:space="preserve">F. tularensis </w:t>
      </w:r>
      <w:r w:rsidR="00B23E91">
        <w:t>shar</w:t>
      </w:r>
      <w:r w:rsidR="00A45830">
        <w:t>e</w:t>
      </w:r>
      <w:r w:rsidR="00B23E91">
        <w:t xml:space="preserve"> an operon with cold </w:t>
      </w:r>
      <w:r w:rsidR="00B43E01">
        <w:t>s</w:t>
      </w:r>
      <w:r w:rsidR="00B23E91">
        <w:t>hock</w:t>
      </w:r>
      <w:r w:rsidR="00392D7A">
        <w:t xml:space="preserve"> family</w:t>
      </w:r>
      <w:r w:rsidR="00B23E91">
        <w:t xml:space="preserve"> proteins, </w:t>
      </w:r>
      <w:r w:rsidR="00A45830">
        <w:t>it is currently unclear</w:t>
      </w:r>
      <w:r w:rsidR="00B43E01">
        <w:t xml:space="preserve"> how similar their regulation and function </w:t>
      </w:r>
      <w:r w:rsidR="00A45830">
        <w:t>may be</w:t>
      </w:r>
      <w:r w:rsidR="00F140A6">
        <w:t xml:space="preserve">. </w:t>
      </w:r>
    </w:p>
    <w:p w14:paraId="662AAFEB" w14:textId="7AE06D03" w:rsidR="00E31C99" w:rsidRPr="00A45830" w:rsidRDefault="00B339CA" w:rsidP="00E92026">
      <w:pPr>
        <w:spacing w:line="480" w:lineRule="auto"/>
        <w:jc w:val="both"/>
        <w:rPr>
          <w:i/>
          <w:iCs/>
        </w:rPr>
      </w:pPr>
      <w:r w:rsidRPr="00A45830">
        <w:rPr>
          <w:i/>
          <w:iCs/>
        </w:rPr>
        <w:lastRenderedPageBreak/>
        <w:t xml:space="preserve">The roles of bS21-1 and bS21-3 in F. tularensis </w:t>
      </w:r>
    </w:p>
    <w:p w14:paraId="68E65909" w14:textId="14E46E38" w:rsidR="00E31C99" w:rsidRPr="00E31C99" w:rsidRDefault="00E31C99" w:rsidP="00E92026">
      <w:pPr>
        <w:spacing w:line="480" w:lineRule="auto"/>
        <w:ind w:firstLine="450"/>
        <w:jc w:val="both"/>
      </w:pPr>
      <w:r>
        <w:t xml:space="preserve">In </w:t>
      </w:r>
      <w:r>
        <w:rPr>
          <w:i/>
          <w:iCs/>
        </w:rPr>
        <w:t>F. tularensis</w:t>
      </w:r>
      <w:r>
        <w:t xml:space="preserve">, bS21-1 and bS21-3 are the least abundant homologs </w:t>
      </w:r>
      <w:r>
        <w:fldChar w:fldCharType="begin"/>
      </w:r>
      <w:r>
        <w:instrText xml:space="preserve"> ADDIN ZOTERO_ITEM CSL_CITATION {"citationID":"vVCm4Tws","properties":{"formattedCitation":"(Trautmann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fldChar w:fldCharType="separate"/>
      </w:r>
      <w:r w:rsidRPr="00E31C99">
        <w:rPr>
          <w:rFonts w:cs="Arial"/>
        </w:rPr>
        <w:t>(Trautmann and Ramsey 2022)</w:t>
      </w:r>
      <w:r>
        <w:fldChar w:fldCharType="end"/>
      </w:r>
      <w:r>
        <w:t>. This was determined through</w:t>
      </w:r>
      <w:r w:rsidR="003237BB">
        <w:t xml:space="preserve"> mass spectrometry analysis of purified 70S ribosomes. </w:t>
      </w:r>
      <w:r w:rsidR="00E92026">
        <w:t xml:space="preserve">bS21-1 </w:t>
      </w:r>
      <w:r w:rsidR="003237BB">
        <w:t xml:space="preserve">and </w:t>
      </w:r>
      <w:r w:rsidR="00E92026">
        <w:t>bS21-3</w:t>
      </w:r>
      <w:r w:rsidR="00B06FA7">
        <w:t xml:space="preserve"> </w:t>
      </w:r>
      <w:r w:rsidR="003237BB">
        <w:t>could not be unambiguously identified due to their high sequence identity</w:t>
      </w:r>
      <w:r w:rsidR="003D6B9C">
        <w:t>,</w:t>
      </w:r>
      <w:r w:rsidR="003237BB">
        <w:t xml:space="preserve"> and peptides corresponding to these proteins </w:t>
      </w:r>
      <w:r w:rsidR="00E92026">
        <w:t>were only identified in one sample (</w:t>
      </w:r>
      <w:r w:rsidR="00B607B2">
        <w:t>Figure 5</w:t>
      </w:r>
      <w:r w:rsidR="00E92026">
        <w:t>). However, this data also shows that bS21-1 and/or bS21-3 can incorporate into ribosomes</w:t>
      </w:r>
      <w:r w:rsidR="00186963">
        <w:t xml:space="preserve"> given that spectral counts were generated from purified ribosomes</w:t>
      </w:r>
      <w:r w:rsidR="00E92026">
        <w:t xml:space="preserve">, lending to heterogenous ribosomes </w:t>
      </w:r>
      <w:r w:rsidR="00E92026">
        <w:fldChar w:fldCharType="begin"/>
      </w:r>
      <w:r w:rsidR="00E92026">
        <w:instrText xml:space="preserve"> ADDIN ZOTERO_ITEM CSL_CITATION {"citationID":"OoPK9vEv","properties":{"formattedCitation":"(Trautmann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E92026">
        <w:fldChar w:fldCharType="separate"/>
      </w:r>
      <w:r w:rsidR="00E92026" w:rsidRPr="00E92026">
        <w:rPr>
          <w:rFonts w:cs="Arial"/>
        </w:rPr>
        <w:t>(Trautmann and Ramsey 2022)</w:t>
      </w:r>
      <w:r w:rsidR="00E92026">
        <w:fldChar w:fldCharType="end"/>
      </w:r>
      <w:r w:rsidR="00E92026">
        <w:t xml:space="preserve">. </w:t>
      </w:r>
    </w:p>
    <w:p w14:paraId="593475D3" w14:textId="77777777" w:rsidR="000F3BF7" w:rsidRPr="00671685" w:rsidRDefault="000F3BF7" w:rsidP="000F3BF7">
      <w:pPr>
        <w:keepNext/>
        <w:spacing w:line="480" w:lineRule="auto"/>
      </w:pPr>
      <w:r w:rsidRPr="00671685">
        <w:rPr>
          <w:noProof/>
        </w:rPr>
        <w:drawing>
          <wp:inline distT="0" distB="0" distL="0" distR="0" wp14:anchorId="18641865" wp14:editId="0DCD8F8E">
            <wp:extent cx="3483200" cy="859536"/>
            <wp:effectExtent l="0" t="0" r="3175" b="0"/>
            <wp:docPr id="6536557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
                      <a:extLst>
                        <a:ext uri="{28A0092B-C50C-407E-A947-70E740481C1C}">
                          <a14:useLocalDpi xmlns:a14="http://schemas.microsoft.com/office/drawing/2010/main" val="0"/>
                        </a:ext>
                      </a:extLst>
                    </a:blip>
                    <a:srcRect l="-82" t="62271" r="53480" b="17509"/>
                    <a:stretch/>
                  </pic:blipFill>
                  <pic:spPr bwMode="auto">
                    <a:xfrm>
                      <a:off x="0" y="0"/>
                      <a:ext cx="3483200" cy="859536"/>
                    </a:xfrm>
                    <a:prstGeom prst="rect">
                      <a:avLst/>
                    </a:prstGeom>
                    <a:noFill/>
                    <a:ln>
                      <a:noFill/>
                    </a:ln>
                    <a:extLst>
                      <a:ext uri="{53640926-AAD7-44D8-BBD7-CCE9431645EC}">
                        <a14:shadowObscured xmlns:a14="http://schemas.microsoft.com/office/drawing/2010/main"/>
                      </a:ext>
                    </a:extLst>
                  </pic:spPr>
                </pic:pic>
              </a:graphicData>
            </a:graphic>
          </wp:inline>
        </w:drawing>
      </w:r>
    </w:p>
    <w:p w14:paraId="7F6F0C5C" w14:textId="67840790" w:rsidR="000F3BF7" w:rsidRPr="00671685" w:rsidRDefault="00B607B2" w:rsidP="007B2AB8">
      <w:pPr>
        <w:pStyle w:val="Caption"/>
        <w:spacing w:before="0"/>
        <w:jc w:val="both"/>
        <w:rPr>
          <w:i w:val="0"/>
          <w:iCs w:val="0"/>
        </w:rPr>
      </w:pPr>
      <w:r>
        <w:rPr>
          <w:b/>
          <w:bCs/>
          <w:i w:val="0"/>
          <w:iCs w:val="0"/>
        </w:rPr>
        <w:t>Figure 5</w:t>
      </w:r>
      <w:r w:rsidR="000F3BF7" w:rsidRPr="00671685">
        <w:rPr>
          <w:b/>
          <w:bCs/>
          <w:i w:val="0"/>
          <w:iCs w:val="0"/>
        </w:rPr>
        <w:t>. bS21-</w:t>
      </w:r>
      <w:r w:rsidR="00E31C99">
        <w:rPr>
          <w:b/>
          <w:bCs/>
          <w:i w:val="0"/>
          <w:iCs w:val="0"/>
        </w:rPr>
        <w:t>1 and bS21-3</w:t>
      </w:r>
      <w:r w:rsidR="000F3BF7" w:rsidRPr="00671685">
        <w:rPr>
          <w:b/>
          <w:bCs/>
          <w:i w:val="0"/>
          <w:iCs w:val="0"/>
        </w:rPr>
        <w:t xml:space="preserve"> </w:t>
      </w:r>
      <w:r w:rsidR="00E31C99">
        <w:rPr>
          <w:b/>
          <w:bCs/>
          <w:i w:val="0"/>
          <w:iCs w:val="0"/>
        </w:rPr>
        <w:t>are</w:t>
      </w:r>
      <w:r w:rsidR="000F3BF7" w:rsidRPr="00671685">
        <w:rPr>
          <w:b/>
          <w:bCs/>
          <w:i w:val="0"/>
          <w:iCs w:val="0"/>
        </w:rPr>
        <w:t xml:space="preserve"> the </w:t>
      </w:r>
      <w:r w:rsidR="00E31C99">
        <w:rPr>
          <w:b/>
          <w:bCs/>
          <w:i w:val="0"/>
          <w:iCs w:val="0"/>
        </w:rPr>
        <w:t>least</w:t>
      </w:r>
      <w:r w:rsidR="000F3BF7" w:rsidRPr="00671685">
        <w:rPr>
          <w:b/>
          <w:bCs/>
          <w:i w:val="0"/>
          <w:iCs w:val="0"/>
        </w:rPr>
        <w:t xml:space="preserve"> abundant homolog</w:t>
      </w:r>
      <w:r w:rsidR="00E31C99">
        <w:rPr>
          <w:b/>
          <w:bCs/>
          <w:i w:val="0"/>
          <w:iCs w:val="0"/>
        </w:rPr>
        <w:t>s</w:t>
      </w:r>
      <w:r w:rsidR="000F3BF7" w:rsidRPr="00671685">
        <w:rPr>
          <w:b/>
          <w:bCs/>
          <w:i w:val="0"/>
          <w:iCs w:val="0"/>
        </w:rPr>
        <w:t xml:space="preserve"> in</w:t>
      </w:r>
      <w:r w:rsidR="000F3BF7" w:rsidRPr="00671685">
        <w:rPr>
          <w:b/>
          <w:bCs/>
        </w:rPr>
        <w:t xml:space="preserve"> F. tularensis. </w:t>
      </w:r>
      <w:r w:rsidR="000F3BF7" w:rsidRPr="00671685">
        <w:rPr>
          <w:i w:val="0"/>
          <w:iCs w:val="0"/>
        </w:rPr>
        <w:t>Spectral counts suggesting the number of peptide particles corresponding to either bS21-1/bS21-3 or bS21-2 incorporated in</w:t>
      </w:r>
      <w:r w:rsidR="007B2AB8" w:rsidRPr="00671685">
        <w:rPr>
          <w:i w:val="0"/>
          <w:iCs w:val="0"/>
        </w:rPr>
        <w:t>to</w:t>
      </w:r>
      <w:r w:rsidR="000F3BF7" w:rsidRPr="00671685">
        <w:rPr>
          <w:i w:val="0"/>
          <w:iCs w:val="0"/>
        </w:rPr>
        <w:t xml:space="preserve"> ribosomes</w:t>
      </w:r>
      <w:r w:rsidR="007B2AB8" w:rsidRPr="00671685">
        <w:rPr>
          <w:i w:val="0"/>
          <w:iCs w:val="0"/>
        </w:rPr>
        <w:t xml:space="preserve"> of wild-type cells</w:t>
      </w:r>
      <w:r w:rsidR="000F3BF7" w:rsidRPr="00671685">
        <w:rPr>
          <w:i w:val="0"/>
          <w:iCs w:val="0"/>
        </w:rPr>
        <w:t xml:space="preserve">. bS21-1 and bS21-3 could not be further resolved due to peptide similarity. </w:t>
      </w:r>
      <w:r w:rsidR="007B2AB8" w:rsidRPr="00671685">
        <w:rPr>
          <w:i w:val="0"/>
          <w:iCs w:val="0"/>
        </w:rPr>
        <w:t xml:space="preserve">A-D refer to individual ribosomal purifications. </w:t>
      </w:r>
      <w:r w:rsidR="000F3BF7" w:rsidRPr="00671685">
        <w:rPr>
          <w:i w:val="0"/>
          <w:iCs w:val="0"/>
        </w:rPr>
        <w:t>ND refers to none detected, indicating that bS21-1/bS21-3 were only detected in sample A</w:t>
      </w:r>
      <w:r w:rsidR="007B2AB8" w:rsidRPr="00671685">
        <w:rPr>
          <w:i w:val="0"/>
          <w:iCs w:val="0"/>
        </w:rPr>
        <w:t xml:space="preserve"> </w:t>
      </w:r>
      <w:r w:rsidR="007B2AB8" w:rsidRPr="00671685">
        <w:rPr>
          <w:i w:val="0"/>
          <w:iCs w:val="0"/>
        </w:rPr>
        <w:fldChar w:fldCharType="begin"/>
      </w:r>
      <w:r w:rsidR="007B2AB8" w:rsidRPr="00671685">
        <w:rPr>
          <w:i w:val="0"/>
          <w:iCs w:val="0"/>
        </w:rPr>
        <w:instrText xml:space="preserve"> ADDIN ZOTERO_ITEM CSL_CITATION {"citationID":"G6Uy4b2S","properties":{"formattedCitation":"(Trautmann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7B2AB8" w:rsidRPr="00671685">
        <w:rPr>
          <w:i w:val="0"/>
          <w:iCs w:val="0"/>
        </w:rPr>
        <w:fldChar w:fldCharType="separate"/>
      </w:r>
      <w:r w:rsidR="007B2AB8" w:rsidRPr="00671685">
        <w:rPr>
          <w:rFonts w:cs="Arial"/>
          <w:i w:val="0"/>
          <w:iCs w:val="0"/>
        </w:rPr>
        <w:t>(Trautmann and Ramsey 2022)</w:t>
      </w:r>
      <w:r w:rsidR="007B2AB8" w:rsidRPr="00671685">
        <w:rPr>
          <w:i w:val="0"/>
          <w:iCs w:val="0"/>
        </w:rPr>
        <w:fldChar w:fldCharType="end"/>
      </w:r>
      <w:r w:rsidR="000F3BF7" w:rsidRPr="00671685">
        <w:rPr>
          <w:i w:val="0"/>
          <w:iCs w:val="0"/>
        </w:rPr>
        <w:t xml:space="preserve">. </w:t>
      </w:r>
    </w:p>
    <w:p w14:paraId="6BC2C336" w14:textId="2F4D1E60" w:rsidR="00E92026" w:rsidRDefault="003237BB" w:rsidP="00E92026">
      <w:pPr>
        <w:spacing w:line="480" w:lineRule="auto"/>
        <w:ind w:firstLine="450"/>
        <w:jc w:val="both"/>
      </w:pPr>
      <w:r>
        <w:t>There is limited information with respect to how bS21-1 and bS21-3 influence translation</w:t>
      </w:r>
      <w:r w:rsidR="00E92026">
        <w:t xml:space="preserve">. Specifically, it was found that ectopic expression of either bS21-1 or bS21-3 could, to some </w:t>
      </w:r>
      <w:r w:rsidR="00A81C96">
        <w:t>level</w:t>
      </w:r>
      <w:r w:rsidR="00E92026">
        <w:t xml:space="preserve">, </w:t>
      </w:r>
      <w:r w:rsidR="00B339CA">
        <w:t xml:space="preserve">restore abundance of </w:t>
      </w:r>
      <w:r>
        <w:t>T6SS</w:t>
      </w:r>
      <w:r w:rsidR="00E92026">
        <w:t xml:space="preserve"> protein</w:t>
      </w:r>
      <w:r w:rsidR="00B339CA">
        <w:t>s</w:t>
      </w:r>
      <w:r w:rsidR="00E92026">
        <w:t xml:space="preserve"> in cells lacking bS21-2 </w:t>
      </w:r>
      <w:r w:rsidR="00E92026">
        <w:fldChar w:fldCharType="begin"/>
      </w:r>
      <w:r w:rsidR="00A81C96">
        <w:instrText xml:space="preserve"> ADDIN ZOTERO_ITEM CSL_CITATION {"citationID":"kSlKSeYo","properties":{"formattedCitation":"(Trautmann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E92026">
        <w:fldChar w:fldCharType="separate"/>
      </w:r>
      <w:r w:rsidR="00A81C96" w:rsidRPr="00A81C96">
        <w:rPr>
          <w:rFonts w:cs="Arial"/>
        </w:rPr>
        <w:t>(Trautmann and Ramsey 2022)</w:t>
      </w:r>
      <w:r w:rsidR="00E92026">
        <w:fldChar w:fldCharType="end"/>
      </w:r>
      <w:r w:rsidR="00A81C96">
        <w:t>.</w:t>
      </w:r>
      <w:r w:rsidR="00027A37">
        <w:t xml:space="preserve"> </w:t>
      </w:r>
      <w:r w:rsidR="009140AD">
        <w:t>Particularly, ectopic expression of bS21-3 in cells lacking bS21-2 was found to re</w:t>
      </w:r>
      <w:r>
        <w:t>s</w:t>
      </w:r>
      <w:r w:rsidR="009140AD">
        <w:t xml:space="preserve">tore </w:t>
      </w:r>
      <w:r>
        <w:t xml:space="preserve">virulence protein levels </w:t>
      </w:r>
      <w:r w:rsidR="009140AD">
        <w:t xml:space="preserve">to </w:t>
      </w:r>
      <w:r>
        <w:t>wild-type or higher levels</w:t>
      </w:r>
      <w:r w:rsidR="009140AD">
        <w:t xml:space="preserve">. On the other hand, ectopic expression of bS21-1 in cells lacking bS21-2 only led to partial restoration of wild-type virulence protein levels. </w:t>
      </w:r>
      <w:r w:rsidR="00B339CA">
        <w:t>However,</w:t>
      </w:r>
      <w:r w:rsidR="00027A37">
        <w:t xml:space="preserve"> </w:t>
      </w:r>
      <w:r>
        <w:t>while cells lacking bS21-2 have</w:t>
      </w:r>
      <w:r w:rsidR="00027A37">
        <w:t xml:space="preserve"> </w:t>
      </w:r>
      <w:r w:rsidR="00027A37">
        <w:lastRenderedPageBreak/>
        <w:t>reduced fitness within macrophage</w:t>
      </w:r>
      <w:r>
        <w:t>, intramacrophage growth was only rescued by ectopic expression of bS21-2, not bS21-1 or bS21-3</w:t>
      </w:r>
      <w:r w:rsidR="00027A37">
        <w:t xml:space="preserve"> </w:t>
      </w:r>
      <w:r w:rsidR="00027A37">
        <w:fldChar w:fldCharType="begin"/>
      </w:r>
      <w:r w:rsidR="00027A37">
        <w:instrText xml:space="preserve"> ADDIN ZOTERO_ITEM CSL_CITATION {"citationID":"vYnlaZiL","properties":{"formattedCitation":"(Trautmann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027A37">
        <w:fldChar w:fldCharType="separate"/>
      </w:r>
      <w:r w:rsidR="00027A37" w:rsidRPr="00027A37">
        <w:rPr>
          <w:rFonts w:cs="Arial"/>
        </w:rPr>
        <w:t>(Trautmann and Ramsey 2022)</w:t>
      </w:r>
      <w:r w:rsidR="00027A37">
        <w:fldChar w:fldCharType="end"/>
      </w:r>
      <w:r w:rsidR="00027A37">
        <w:t>. This indicates that bS21-2</w:t>
      </w:r>
      <w:r w:rsidR="009E595E">
        <w:t>, but not bS21-1 or bS21-3,</w:t>
      </w:r>
      <w:r w:rsidR="00027A37">
        <w:t xml:space="preserve"> </w:t>
      </w:r>
      <w:r w:rsidR="009E595E">
        <w:t>is specifically required for survival</w:t>
      </w:r>
      <w:r w:rsidR="00027A37">
        <w:t xml:space="preserve"> in</w:t>
      </w:r>
      <w:r w:rsidR="009E595E">
        <w:t>side</w:t>
      </w:r>
      <w:r w:rsidR="00027A37">
        <w:t xml:space="preserve"> </w:t>
      </w:r>
      <w:r w:rsidR="009E595E">
        <w:t>macrophage</w:t>
      </w:r>
      <w:r w:rsidR="00027A37">
        <w:t xml:space="preserve"> </w:t>
      </w:r>
      <w:r w:rsidR="00027A37">
        <w:fldChar w:fldCharType="begin"/>
      </w:r>
      <w:r w:rsidR="00027A37">
        <w:instrText xml:space="preserve"> ADDIN ZOTERO_ITEM CSL_CITATION {"citationID":"S7UXY7qh","properties":{"formattedCitation":"(Trautmann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027A37">
        <w:fldChar w:fldCharType="separate"/>
      </w:r>
      <w:r w:rsidR="00027A37" w:rsidRPr="00027A37">
        <w:rPr>
          <w:rFonts w:cs="Arial"/>
        </w:rPr>
        <w:t>(Trautmann and Ramsey 2022)</w:t>
      </w:r>
      <w:r w:rsidR="00027A37">
        <w:fldChar w:fldCharType="end"/>
      </w:r>
      <w:r w:rsidR="00027A37">
        <w:t>.</w:t>
      </w:r>
    </w:p>
    <w:p w14:paraId="264628ED" w14:textId="5A427FED" w:rsidR="00DB245E" w:rsidRPr="00671685" w:rsidRDefault="006C4EA1" w:rsidP="0091565C">
      <w:pPr>
        <w:spacing w:line="480" w:lineRule="auto"/>
        <w:ind w:firstLine="450"/>
        <w:jc w:val="both"/>
      </w:pPr>
      <w:r>
        <w:t xml:space="preserve">While </w:t>
      </w:r>
      <w:r w:rsidR="00027A37">
        <w:t xml:space="preserve">bS21-1 and bS21-3 </w:t>
      </w:r>
      <w:r w:rsidR="00AE7AAD">
        <w:t>can independently incorporate into ribosomes, leading to ribosomal heterogeneity</w:t>
      </w:r>
      <w:r w:rsidR="00027A37">
        <w:t>, the</w:t>
      </w:r>
      <w:r>
        <w:t xml:space="preserve"> factors controlling production </w:t>
      </w:r>
      <w:r w:rsidR="00027A37">
        <w:t xml:space="preserve">of these two homologs is </w:t>
      </w:r>
      <w:r w:rsidR="00AE7AAD">
        <w:t>still</w:t>
      </w:r>
      <w:r w:rsidR="00027A37">
        <w:t xml:space="preserve"> </w:t>
      </w:r>
      <w:r w:rsidR="001D3713">
        <w:t>unclear.</w:t>
      </w:r>
      <w:r w:rsidR="00027A37">
        <w:t xml:space="preserve"> </w:t>
      </w:r>
      <w:r>
        <w:t>And although prior data revealed that bS21-2 is autogenously regulated,</w:t>
      </w:r>
      <w:r w:rsidR="00405C64">
        <w:t xml:space="preserve"> </w:t>
      </w:r>
      <w:r>
        <w:t xml:space="preserve">how bS21-2 exerts its effects on its own production </w:t>
      </w:r>
      <w:r w:rsidR="00405C64">
        <w:t>is also unknown. The</w:t>
      </w:r>
      <w:r>
        <w:t>se topics</w:t>
      </w:r>
      <w:r w:rsidR="00405C64">
        <w:t xml:space="preserve"> will be explored</w:t>
      </w:r>
      <w:r>
        <w:t xml:space="preserve"> in the following chapters</w:t>
      </w:r>
      <w:r w:rsidR="00405C64">
        <w:t xml:space="preserve">. </w:t>
      </w:r>
    </w:p>
    <w:p w14:paraId="5A429669" w14:textId="77777777" w:rsidR="00FA43BD" w:rsidRPr="00671685" w:rsidRDefault="00FA43BD">
      <w:r w:rsidRPr="00671685">
        <w:br w:type="page"/>
      </w:r>
    </w:p>
    <w:p w14:paraId="509250BC" w14:textId="34AB4225" w:rsidR="00E74DF5" w:rsidRPr="00671685" w:rsidRDefault="00E74DF5" w:rsidP="00FA43BD">
      <w:pPr>
        <w:pStyle w:val="Heading2"/>
      </w:pPr>
      <w:bookmarkStart w:id="4" w:name="_Toc146795383"/>
      <w:r w:rsidRPr="00671685">
        <w:lastRenderedPageBreak/>
        <w:t>SUMMARY AND OBJECTIVES</w:t>
      </w:r>
      <w:bookmarkEnd w:id="4"/>
    </w:p>
    <w:p w14:paraId="60085159" w14:textId="77777777" w:rsidR="00E74DF5" w:rsidRPr="00671685" w:rsidRDefault="00E74DF5"/>
    <w:p w14:paraId="2751E05C" w14:textId="4486AA7F" w:rsidR="00893C61" w:rsidRDefault="00893C61" w:rsidP="000A54F6">
      <w:pPr>
        <w:spacing w:line="480" w:lineRule="auto"/>
        <w:ind w:firstLine="450"/>
        <w:jc w:val="both"/>
      </w:pPr>
      <w:r>
        <w:t xml:space="preserve">Ribosomes may be heterogenous due to a number of factors, including </w:t>
      </w:r>
      <w:r w:rsidR="000A54F6">
        <w:t xml:space="preserve">incorporation of distinct </w:t>
      </w:r>
      <w:r>
        <w:t>ribosomal protein</w:t>
      </w:r>
      <w:r w:rsidR="000A54F6">
        <w:t xml:space="preserve"> homologs</w:t>
      </w:r>
      <w:r>
        <w:t xml:space="preserve">. In our organism of interest, </w:t>
      </w:r>
      <w:r>
        <w:rPr>
          <w:i/>
          <w:iCs/>
        </w:rPr>
        <w:t>F. tularensis</w:t>
      </w:r>
      <w:r>
        <w:t xml:space="preserve">, there are three homologs of the ribosomal protein, bS21. Previous work in the lab has indicated that bS21-2 is the most abundant of the three homologs, but that bS21-1 and bS21-3 can also </w:t>
      </w:r>
      <w:r w:rsidR="002006E8">
        <w:t xml:space="preserve">be assembled </w:t>
      </w:r>
      <w:r>
        <w:t xml:space="preserve">into ribosomes. When </w:t>
      </w:r>
      <w:r w:rsidR="002006E8">
        <w:t xml:space="preserve">present </w:t>
      </w:r>
      <w:r>
        <w:t xml:space="preserve">in ribosomes, bS21-2 affects the production of certain virulence proteins. </w:t>
      </w:r>
      <w:r w:rsidR="000A54F6">
        <w:t xml:space="preserve">How the production of specific bS21 homologs is regulated and how the three homologs are kept in balance with other ribosomal components </w:t>
      </w:r>
      <w:r>
        <w:t xml:space="preserve">is not well understood. </w:t>
      </w:r>
    </w:p>
    <w:p w14:paraId="08CDE2E1" w14:textId="2A5F453A" w:rsidR="00E74DF5" w:rsidRPr="00F8448C" w:rsidRDefault="00F8448C" w:rsidP="00F8448C">
      <w:pPr>
        <w:spacing w:line="480" w:lineRule="auto"/>
        <w:ind w:firstLine="450"/>
        <w:jc w:val="both"/>
      </w:pPr>
      <w:r>
        <w:t xml:space="preserve">In the following chapters, I show that the autogenous regulation of bS21-2 </w:t>
      </w:r>
      <w:r w:rsidR="000A54F6">
        <w:t xml:space="preserve">is, at least in part, due to </w:t>
      </w:r>
      <w:r>
        <w:t xml:space="preserve">its leader sequence. Additionally, I show that two immediate stem-loops in the leader sequence are not important for regulation by bS21-2, but that bS21-2 may de-stabilize its own transcript. Uniquely, bS21-1 and bS21-3 are not autogenously regulated. In the third chapter, I </w:t>
      </w:r>
      <w:r w:rsidR="000A54F6">
        <w:t xml:space="preserve">describe </w:t>
      </w:r>
      <w:r>
        <w:t xml:space="preserve">a number of environmental conditions </w:t>
      </w:r>
      <w:r w:rsidR="000A54F6">
        <w:t xml:space="preserve">and their impacts on </w:t>
      </w:r>
      <w:r>
        <w:t xml:space="preserve">regulation of bS21-1 and bS21-3 at either the transcriptional or translational level. </w:t>
      </w:r>
      <w:r w:rsidR="00E74DF5" w:rsidRPr="00671685">
        <w:br w:type="page"/>
      </w:r>
    </w:p>
    <w:p w14:paraId="17AB1E62" w14:textId="69362B11" w:rsidR="002F7F7A" w:rsidRPr="0038061C" w:rsidRDefault="00E74DF5" w:rsidP="0038061C">
      <w:pPr>
        <w:pStyle w:val="Heading2"/>
        <w:spacing w:after="240"/>
      </w:pPr>
      <w:bookmarkStart w:id="5" w:name="_Toc146795384"/>
      <w:r w:rsidRPr="00671685">
        <w:lastRenderedPageBreak/>
        <w:t>REFERENCES</w:t>
      </w:r>
      <w:bookmarkEnd w:id="5"/>
    </w:p>
    <w:p w14:paraId="1145D147" w14:textId="77777777" w:rsidR="00A1374A" w:rsidRDefault="0038061C" w:rsidP="00A1374A">
      <w:pPr>
        <w:pStyle w:val="Bibliography"/>
      </w:pPr>
      <w:r>
        <w:rPr>
          <w:rFonts w:cs="Arial"/>
        </w:rPr>
        <w:fldChar w:fldCharType="begin"/>
      </w:r>
      <w:r>
        <w:rPr>
          <w:rFonts w:cs="Arial"/>
        </w:rPr>
        <w:instrText xml:space="preserve"> ADDIN ZOTERO_BIBL {"uncited":[],"omitted":[],"custom":[]} CSL_BIBLIOGRAPHY </w:instrText>
      </w:r>
      <w:r>
        <w:rPr>
          <w:rFonts w:cs="Arial"/>
        </w:rPr>
        <w:fldChar w:fldCharType="separate"/>
      </w:r>
      <w:r w:rsidR="00A1374A">
        <w:t xml:space="preserve">Akanuma, Genki, Hideaki Nanamiya, Yousuke Natori, Naofumi Nomura, and Fujio Kawamura. 2006. “Liberation of Zinc-Containing L31 (RpmE) from Ribosomes by Its Paralogous Gene Product, YtiA, in Bacillus Subtilis.” </w:t>
      </w:r>
      <w:r w:rsidR="00A1374A">
        <w:rPr>
          <w:i/>
          <w:iCs/>
        </w:rPr>
        <w:t>Journal of Bacteriology</w:t>
      </w:r>
      <w:r w:rsidR="00A1374A">
        <w:t xml:space="preserve"> 188(7):2715–20. doi: 10.1128/jb.188.7.2715-2720.2006.</w:t>
      </w:r>
    </w:p>
    <w:p w14:paraId="3E7A52E1" w14:textId="77777777" w:rsidR="00A1374A" w:rsidRDefault="00A1374A" w:rsidP="00A1374A">
      <w:pPr>
        <w:pStyle w:val="Bibliography"/>
      </w:pPr>
      <w:r>
        <w:t xml:space="preserve">Akanuma, Genki, Hideaki Nanamiya, Yousuke Natori, Koichi Yano, Shota Suzuki, Shuya Omata, Morio Ishizuka, Yasuhiko Sekine, and Fujio Kawamura. 2012. “Inactivation of Ribosomal Protein Genes in Bacillus Subtilis Reveals Importance of Each Ribosomal Protein for Cell Proliferation and Cell Differentiation.” </w:t>
      </w:r>
      <w:r>
        <w:rPr>
          <w:i/>
          <w:iCs/>
        </w:rPr>
        <w:t>Journal of Bacteriology</w:t>
      </w:r>
      <w:r>
        <w:t xml:space="preserve"> 194(22):6282–91. doi: 10.1128/JB.01544-12.</w:t>
      </w:r>
    </w:p>
    <w:p w14:paraId="75CA6384" w14:textId="77777777" w:rsidR="00A1374A" w:rsidRDefault="00A1374A" w:rsidP="00A1374A">
      <w:pPr>
        <w:pStyle w:val="Bibliography"/>
      </w:pPr>
      <w:r>
        <w:t xml:space="preserve">Bae, W., B. Xia, M. Inouye, and K. Severinov. 2000. “Escherichia Coli CspA-Family RNA Chaperones Are Transcription Antiterminators.” </w:t>
      </w:r>
      <w:r>
        <w:rPr>
          <w:i/>
          <w:iCs/>
        </w:rPr>
        <w:t>Proceedings of the National Academy of Sciences of the United States of America</w:t>
      </w:r>
      <w:r>
        <w:t xml:space="preserve"> 97(14):7784–89. doi: 10.1073/pnas.97.14.7784.</w:t>
      </w:r>
    </w:p>
    <w:p w14:paraId="7058C0BA" w14:textId="5753DB04" w:rsidR="00A1374A" w:rsidRDefault="00A1374A" w:rsidP="00A1374A">
      <w:pPr>
        <w:pStyle w:val="Bibliography"/>
      </w:pPr>
      <w:r>
        <w:t>Ban, Nenad, Roland Beckmann, Jamie H. D. Cate, Jonathan D. Dinman, François Dragon, Steven R. Ellis, Denis L. J. Lafontaine, Lasse Lindahl, Anders Liljas, Jeffrey M. Lipton, Michael A. McAlear, Peter B. Moore, Harry F. Noller, Joaquin Ortega, Vikram Govind Panse, V. Ramakrishnan, Christian M. T. Spahn, Thomas A. Steitz, Marek Tchorzewski</w:t>
      </w:r>
      <w:r w:rsidR="005028D6">
        <w:t>...</w:t>
      </w:r>
      <w:r>
        <w:t xml:space="preserve"> Marat Yusupov. 2014. “A New System for Naming Ribosomal Proteins.” </w:t>
      </w:r>
      <w:r>
        <w:rPr>
          <w:i/>
          <w:iCs/>
        </w:rPr>
        <w:t>Current Opinion in Structural Biology</w:t>
      </w:r>
      <w:r>
        <w:t xml:space="preserve"> 24:165–69. doi: 10.1016/j.sbi.2014.01.002.</w:t>
      </w:r>
    </w:p>
    <w:p w14:paraId="17E6907D" w14:textId="77777777" w:rsidR="00A1374A" w:rsidRDefault="00A1374A" w:rsidP="00A1374A">
      <w:pPr>
        <w:pStyle w:val="Bibliography"/>
      </w:pPr>
      <w:r>
        <w:t xml:space="preserve">Barry, G., C. L. Squires, and C. Squires. 1979. “Control Features within the rplJL-rpoBC Transcription Unit of Escherichia Coli.” </w:t>
      </w:r>
      <w:r>
        <w:rPr>
          <w:i/>
          <w:iCs/>
        </w:rPr>
        <w:t>Proceedings of the National Academy of Sciences of the United States of America</w:t>
      </w:r>
      <w:r>
        <w:t xml:space="preserve"> 76(10):4922–26. doi: 10.1073/pnas.76.10.4922.</w:t>
      </w:r>
    </w:p>
    <w:p w14:paraId="0341DB10" w14:textId="48EAE21E" w:rsidR="00A1374A" w:rsidRDefault="00A1374A" w:rsidP="00A1374A">
      <w:pPr>
        <w:pStyle w:val="Bibliography"/>
      </w:pPr>
      <w:r>
        <w:t xml:space="preserve">Basco, M. D. S., A. Kothari, Page B.McKinzie, J. R. Revollo, S. Agnihothram, M. P. Azevedo, M. Saccente, and M. E. Hart. 2019. “Reduced Vancomycin Susceptibility and Increased Macrophage Survival in Staphylococcus Aureus Strains Sequentially Isolated from a Bacteraemic Patient during a Short Course of Antibiotic Therapy.” </w:t>
      </w:r>
      <w:r>
        <w:rPr>
          <w:i/>
          <w:iCs/>
        </w:rPr>
        <w:t>Journal of Medical Microbiology</w:t>
      </w:r>
      <w:r>
        <w:t xml:space="preserve"> 68(6):848–59. doi: 10.1099/jmm.0.000988.</w:t>
      </w:r>
    </w:p>
    <w:p w14:paraId="107DAB83" w14:textId="77777777" w:rsidR="00A1374A" w:rsidRDefault="00A1374A" w:rsidP="00A1374A">
      <w:pPr>
        <w:pStyle w:val="Bibliography"/>
      </w:pPr>
      <w:r>
        <w:t xml:space="preserve">Bell, J. Frederick, Cora R. Owen, and Carl L. Larson. 1955. “Virulence of Bacterium Tularense I. A Study of the Virulence of Bacterium Tularense in Mice, Guinea Pigs, and Rabbits.” </w:t>
      </w:r>
      <w:r>
        <w:rPr>
          <w:i/>
          <w:iCs/>
        </w:rPr>
        <w:t>The Journal of Infectious Diseases</w:t>
      </w:r>
      <w:r>
        <w:t xml:space="preserve"> 97(2):162–66. doi: 10.1093/infdis/97.2.162.</w:t>
      </w:r>
    </w:p>
    <w:p w14:paraId="40298AFF" w14:textId="77777777" w:rsidR="00A1374A" w:rsidRDefault="00A1374A" w:rsidP="00A1374A">
      <w:pPr>
        <w:pStyle w:val="Bibliography"/>
      </w:pPr>
      <w:r>
        <w:lastRenderedPageBreak/>
        <w:t xml:space="preserve">Bent, Zachary W., David M. Brazel, Mary B. Tran-Gyamfi, Rachelle Y. Hamblin, Victoria A. VanderNoot, and Steven S. Branda. 2013. “Use of a Capture-Based Pathogen Transcript Enrichment Strategy for RNA-Seq Analysis of the Francisella Tularensis LVS Transcriptome during Infection of Murine Macrophages.” </w:t>
      </w:r>
      <w:r>
        <w:rPr>
          <w:i/>
          <w:iCs/>
        </w:rPr>
        <w:t>PLOS ONE</w:t>
      </w:r>
      <w:r>
        <w:t xml:space="preserve"> 8(10):e77834. doi: 10.1371/journal.pone.0077834.</w:t>
      </w:r>
    </w:p>
    <w:p w14:paraId="14C63148" w14:textId="77777777" w:rsidR="00A1374A" w:rsidRDefault="00A1374A" w:rsidP="00A1374A">
      <w:pPr>
        <w:pStyle w:val="Bibliography"/>
      </w:pPr>
      <w:r>
        <w:t xml:space="preserve">Blake, Katy L., and Alex J. O’Neill. 2013. “Transposon Library Screening for Identification of Genetic Loci Participating in Intrinsic Susceptibility and Acquired Resistance to Antistaphylococcal Agents.” </w:t>
      </w:r>
      <w:r>
        <w:rPr>
          <w:i/>
          <w:iCs/>
        </w:rPr>
        <w:t>Journal of Antimicrobial Chemotherapy</w:t>
      </w:r>
      <w:r>
        <w:t xml:space="preserve"> 68(1):12–16. doi: 10.1093/jac/dks373.</w:t>
      </w:r>
    </w:p>
    <w:p w14:paraId="125D4611" w14:textId="77777777" w:rsidR="00A1374A" w:rsidRDefault="00A1374A" w:rsidP="00A1374A">
      <w:pPr>
        <w:pStyle w:val="Bibliography"/>
      </w:pPr>
      <w:r>
        <w:t xml:space="preserve">Brodmann, Maj, Roland F. Dreier, Petr Broz, and Marek Basler. 2017. “Francisella Requires Dynamic Type VI Secretion System and ClpB to Deliver Effectors for Phagosomal Escape.” </w:t>
      </w:r>
      <w:r>
        <w:rPr>
          <w:i/>
          <w:iCs/>
        </w:rPr>
        <w:t>Nature Communications</w:t>
      </w:r>
      <w:r>
        <w:t xml:space="preserve"> 8(1):15853. doi: 10.1038/ncomms15853.</w:t>
      </w:r>
    </w:p>
    <w:p w14:paraId="1F55A26A" w14:textId="77777777" w:rsidR="00A1374A" w:rsidRDefault="00A1374A" w:rsidP="00A1374A">
      <w:pPr>
        <w:pStyle w:val="Bibliography"/>
      </w:pPr>
      <w:r>
        <w:t xml:space="preserve">de Bruin, Olle M., Barry N. Duplantis, Jagjit S. Ludu, Rebekah F. Hare, Eli B. Nix, Crystal L. Schmerk, Craig S. Robb, Alisdair B. Boraston, Karsten Hueffer, and Francis E. Nano. 2011. “The Biochemical Properties of the Francisella Pathogenicity Island (FPI)-Encoded Proteins IglA, IglB, IglC, PdpB and DotU Suggest Roles in Type VI Secretion.” </w:t>
      </w:r>
      <w:r>
        <w:rPr>
          <w:i/>
          <w:iCs/>
        </w:rPr>
        <w:t>Microbiology</w:t>
      </w:r>
      <w:r>
        <w:t xml:space="preserve"> 157(Pt 12):3483–91. doi: 10.1099/mic.0.052308-0.</w:t>
      </w:r>
    </w:p>
    <w:p w14:paraId="334484BD" w14:textId="77777777" w:rsidR="00A1374A" w:rsidRDefault="00A1374A" w:rsidP="00A1374A">
      <w:pPr>
        <w:pStyle w:val="Bibliography"/>
      </w:pPr>
      <w:r>
        <w:t xml:space="preserve">Buchan, Blake W., Ramona L. McCaffrey, Stephen R. Lindemann, Lee-Ann H. Allen, and Bradley D. Jones. 2009. “Identification of migR, a Regulatory Element of the Francisella Tularensis Live Vaccine Strain iglABCD Virulence Operon Required for Normal Replication and Trafficking in Macrophages.” </w:t>
      </w:r>
      <w:r>
        <w:rPr>
          <w:i/>
          <w:iCs/>
        </w:rPr>
        <w:t>Infection and Immunity</w:t>
      </w:r>
      <w:r>
        <w:t xml:space="preserve"> 77(6):2517–29. doi: 10.1128/iai.00229-09.</w:t>
      </w:r>
    </w:p>
    <w:p w14:paraId="66A52465" w14:textId="77777777" w:rsidR="00A1374A" w:rsidRDefault="00A1374A" w:rsidP="00A1374A">
      <w:pPr>
        <w:pStyle w:val="Bibliography"/>
      </w:pPr>
      <w:r>
        <w:t xml:space="preserve">Byrgazov, Konstantin, Oliver Vesper, and Isabella Moll. 2013. “Ribosome Heterogeneity: Another Level of Complexity in Bacterial Translation Regulation.” </w:t>
      </w:r>
      <w:r>
        <w:rPr>
          <w:i/>
          <w:iCs/>
        </w:rPr>
        <w:t>Current Opinion in Microbiology</w:t>
      </w:r>
      <w:r>
        <w:t xml:space="preserve"> 16(2):133–39. doi: 10.1016/j.mib.2013.01.009.</w:t>
      </w:r>
    </w:p>
    <w:p w14:paraId="68721972" w14:textId="77777777" w:rsidR="00A1374A" w:rsidRDefault="00A1374A" w:rsidP="00A1374A">
      <w:pPr>
        <w:pStyle w:val="Bibliography"/>
      </w:pPr>
      <w:r>
        <w:t xml:space="preserve">Chang, Chu, and Gary R. Craven. 1977. “Identification of Several Proteins Involved in the Messenger RNA Binding Site of the 30 S Ribosome by Inactivation with 2-Methoxy-5-Nitrotropone.” </w:t>
      </w:r>
      <w:r>
        <w:rPr>
          <w:i/>
          <w:iCs/>
        </w:rPr>
        <w:t>Journal of Molecular Biology</w:t>
      </w:r>
      <w:r>
        <w:t xml:space="preserve"> 117(2):401–18. doi: 10.1016/0022-2836(77)90135-8.</w:t>
      </w:r>
    </w:p>
    <w:p w14:paraId="7C4713AF" w14:textId="77777777" w:rsidR="00A1374A" w:rsidRDefault="00A1374A" w:rsidP="00A1374A">
      <w:pPr>
        <w:pStyle w:val="Bibliography"/>
      </w:pPr>
      <w:r>
        <w:t xml:space="preserve">Charity, James C., Michelle M. Costante-Hamm, Emmy L. Balon, Dana H. Boyd, Eric J. Rubin, and Simon L. Dove. 2007. “Twin RNA Polymerase–Associated Proteins Control Virulence Gene Expression in Francisella Tularensis.” </w:t>
      </w:r>
      <w:r>
        <w:rPr>
          <w:i/>
          <w:iCs/>
        </w:rPr>
        <w:t>PLOS Pathogens</w:t>
      </w:r>
      <w:r>
        <w:t xml:space="preserve"> 3(6):e84. doi: 10.1371/journal.ppat.0030084.</w:t>
      </w:r>
    </w:p>
    <w:p w14:paraId="4DCB28A5" w14:textId="77777777" w:rsidR="00A1374A" w:rsidRDefault="00A1374A" w:rsidP="00A1374A">
      <w:pPr>
        <w:pStyle w:val="Bibliography"/>
      </w:pPr>
      <w:r>
        <w:lastRenderedPageBreak/>
        <w:t xml:space="preserve">Chen, Yu-Xiang, Zhi-yu Xu, Xueliang Ge, Jia-Yao Hong, Suparna Sanyal, Zhi John Lu, and Babak Javid. 2020. “Selective Translation by Alternative Bacterial Ribosomes.” </w:t>
      </w:r>
      <w:r>
        <w:rPr>
          <w:i/>
          <w:iCs/>
        </w:rPr>
        <w:t>Proceedings of the National Academy of Sciences</w:t>
      </w:r>
      <w:r>
        <w:t xml:space="preserve"> 117(32):19487–96. doi: 10.1073/pnas.2009607117.</w:t>
      </w:r>
    </w:p>
    <w:p w14:paraId="05E31664" w14:textId="77777777" w:rsidR="00A1374A" w:rsidRDefault="00A1374A" w:rsidP="00A1374A">
      <w:pPr>
        <w:pStyle w:val="Bibliography"/>
      </w:pPr>
      <w:r>
        <w:t xml:space="preserve">Clemens, Daniel L., Bai-Yu Lee, and Marcus A. Horwitz. 2018. “The Francisella Type VI Secretion System.” </w:t>
      </w:r>
      <w:r>
        <w:rPr>
          <w:i/>
          <w:iCs/>
        </w:rPr>
        <w:t>Frontiers in Cellular and Infection Microbiology</w:t>
      </w:r>
      <w:r>
        <w:t xml:space="preserve"> 8.</w:t>
      </w:r>
    </w:p>
    <w:p w14:paraId="73DEA2A3" w14:textId="77777777" w:rsidR="00A1374A" w:rsidRDefault="00A1374A" w:rsidP="00A1374A">
      <w:pPr>
        <w:pStyle w:val="Bibliography"/>
      </w:pPr>
      <w:r>
        <w:t xml:space="preserve">Climie, Shane C., and James D. Friesen. 1987. “Feedback Regulation of the rplJL-rpoBC Ribosomal Protein Operon of Escherichia Coli Requires a Region of mRNA Secondary Structure.” </w:t>
      </w:r>
      <w:r>
        <w:rPr>
          <w:i/>
          <w:iCs/>
        </w:rPr>
        <w:t>Journal of Molecular Biology</w:t>
      </w:r>
      <w:r>
        <w:t xml:space="preserve"> 198(3):371–81. doi: 10.1016/0022-2836(87)90287-7.</w:t>
      </w:r>
    </w:p>
    <w:p w14:paraId="3F123CC7" w14:textId="77777777" w:rsidR="00A1374A" w:rsidRDefault="00A1374A" w:rsidP="00A1374A">
      <w:pPr>
        <w:pStyle w:val="Bibliography"/>
      </w:pPr>
      <w:r>
        <w:t xml:space="preserve">Cuthbert, Bonnie J., Wilma Ross, Amy E. Rohlfing, Simon L. Dove, Richard L. Gourse, Richard G. Brennan, and Maria A. Schumacher. 2017. “Dissection of the Molecular Circuitry Controlling Virulence in Francisella Tularensis.” </w:t>
      </w:r>
      <w:r>
        <w:rPr>
          <w:i/>
          <w:iCs/>
        </w:rPr>
        <w:t>Genes &amp; Development</w:t>
      </w:r>
      <w:r>
        <w:t xml:space="preserve"> 31(15):1549–60. doi: 10.1101/gad.303701.117.</w:t>
      </w:r>
    </w:p>
    <w:p w14:paraId="39B277FC" w14:textId="77777777" w:rsidR="00A1374A" w:rsidRDefault="00A1374A" w:rsidP="00A1374A">
      <w:pPr>
        <w:pStyle w:val="Bibliography"/>
      </w:pPr>
      <w:r>
        <w:t xml:space="preserve">Czapski, Tiffaney R., and Nancy Trun. 2014. “Expression of Csp Genes in E. Coli K-12 in Defined Rich and Defined Minimal Media during Normal Growth, and after Cold-Shock.” </w:t>
      </w:r>
      <w:r>
        <w:rPr>
          <w:i/>
          <w:iCs/>
        </w:rPr>
        <w:t>Gene</w:t>
      </w:r>
      <w:r>
        <w:t xml:space="preserve"> 547(1):91–97. doi: 10.1016/j.gene.2014.06.033.</w:t>
      </w:r>
    </w:p>
    <w:p w14:paraId="0EB1C249" w14:textId="77777777" w:rsidR="00A1374A" w:rsidRDefault="00A1374A" w:rsidP="00A1374A">
      <w:pPr>
        <w:pStyle w:val="Bibliography"/>
      </w:pPr>
      <w:r>
        <w:t xml:space="preserve">Dai, Shipan, Nrusingh Mohapatra, Larry Schlesinger, and John Gunn. 2011. “Regulation of Francisella Tularensis Virulence.” </w:t>
      </w:r>
      <w:r>
        <w:rPr>
          <w:i/>
          <w:iCs/>
        </w:rPr>
        <w:t>Frontiers in Microbiology</w:t>
      </w:r>
      <w:r>
        <w:t xml:space="preserve"> 1.</w:t>
      </w:r>
    </w:p>
    <w:p w14:paraId="547725C9" w14:textId="77777777" w:rsidR="00A1374A" w:rsidRDefault="00A1374A" w:rsidP="00A1374A">
      <w:pPr>
        <w:pStyle w:val="Bibliography"/>
      </w:pPr>
      <w:r>
        <w:t xml:space="preserve">Dennis, David T., Thomas V. Inglesby, Donald A. Henderson, John G. Bartlett, Michael S. Ascher, Edward Eitzen, Anne D. Fine, Arthur M. Friedlander, Jerome Hauer, Marcelle Layton, Scott R. Lillibridge, Joseph E. McDade, Michael T. Osterholm, Tara O’Toole, Gerald Parker, Trish M. Perl, Philip K. Russell, Kevin Tonat, and for the Working Group on Civilian Biodefense. 2001. “Tularemia as a Biological WeaponMedical and Public Health Management.” </w:t>
      </w:r>
      <w:r>
        <w:rPr>
          <w:i/>
          <w:iCs/>
        </w:rPr>
        <w:t>JAMA</w:t>
      </w:r>
      <w:r>
        <w:t xml:space="preserve"> 285(21):2763–73. doi: 10.1001/jama.285.21.2763.</w:t>
      </w:r>
    </w:p>
    <w:p w14:paraId="79F183DB" w14:textId="77777777" w:rsidR="00A1374A" w:rsidRDefault="00A1374A" w:rsidP="00A1374A">
      <w:pPr>
        <w:pStyle w:val="Bibliography"/>
      </w:pPr>
      <w:r>
        <w:t xml:space="preserve">Diaconu, Mihaela, Ute Kothe, Frank Schlünzen, Niels Fischer, Jörg M. Harms, Alexander G. Tonevitsky, Holger Stark, Marina V. Rodnina, and Markus C. Wahl. 2005. “Structural Basis for the Function of the Ribosomal L7/12 Stalk in Factor Binding and GTPase Activation.” </w:t>
      </w:r>
      <w:r>
        <w:rPr>
          <w:i/>
          <w:iCs/>
        </w:rPr>
        <w:t>Cell</w:t>
      </w:r>
      <w:r>
        <w:t xml:space="preserve"> 121(7):991–1004. doi: 10.1016/j.cell.2005.04.015.</w:t>
      </w:r>
    </w:p>
    <w:p w14:paraId="415C61B8" w14:textId="77777777" w:rsidR="00A1374A" w:rsidRDefault="00A1374A" w:rsidP="00A1374A">
      <w:pPr>
        <w:pStyle w:val="Bibliography"/>
      </w:pPr>
      <w:r>
        <w:t xml:space="preserve">Dow, Allexa, and Sladjana Prisic. 2018. “Alternative Ribosomal Proteins Are Required for Growth and Morphogenesis of Mycobacterium Smegmatis under Zinc Limiting Conditions.” </w:t>
      </w:r>
      <w:r>
        <w:rPr>
          <w:i/>
          <w:iCs/>
        </w:rPr>
        <w:t>PLOS ONE</w:t>
      </w:r>
      <w:r>
        <w:t xml:space="preserve"> 13(4):e0196300. doi: 10.1371/journal.pone.0196300.</w:t>
      </w:r>
    </w:p>
    <w:p w14:paraId="101D9EBF" w14:textId="77777777" w:rsidR="00A1374A" w:rsidRDefault="00A1374A" w:rsidP="00A1374A">
      <w:pPr>
        <w:pStyle w:val="Bibliography"/>
      </w:pPr>
      <w:r>
        <w:lastRenderedPageBreak/>
        <w:t xml:space="preserve">Dow, Allexa, Preeti Sule, Timothy J. O’Donnell, Andrew Burger, Joshua T. Mattila, Brandi Antonio, Kevin Vergara, Endrei Marcantonio, L. Garry Adams, Nicholas James, Philip G. Williams, Jeffrey D. Cirillo, and Sladjana Prisic. 2021. “Zinc Limitation Triggers Anticipatory Adaptations in Mycobacterium Tuberculosis.” </w:t>
      </w:r>
      <w:r>
        <w:rPr>
          <w:i/>
          <w:iCs/>
        </w:rPr>
        <w:t>PLOS Pathogens</w:t>
      </w:r>
      <w:r>
        <w:t xml:space="preserve"> 17(5):e1009570. doi: 10.1371/journal.ppat.1009570.</w:t>
      </w:r>
    </w:p>
    <w:p w14:paraId="5B5FC320" w14:textId="77777777" w:rsidR="00A1374A" w:rsidRDefault="00A1374A" w:rsidP="00A1374A">
      <w:pPr>
        <w:pStyle w:val="Bibliography"/>
      </w:pPr>
      <w:r>
        <w:t xml:space="preserve">Eigelsbach, H. T., Werner Braun, and Ruth D. Herring. 1951. “STUDIES ON THE VARIATION OF BACTERIUM TULARENSE.” </w:t>
      </w:r>
      <w:r>
        <w:rPr>
          <w:i/>
          <w:iCs/>
        </w:rPr>
        <w:t>Journal of Bacteriology</w:t>
      </w:r>
      <w:r>
        <w:t xml:space="preserve"> 61(5):557–69.</w:t>
      </w:r>
    </w:p>
    <w:p w14:paraId="03CD963E" w14:textId="77777777" w:rsidR="00A1374A" w:rsidRDefault="00A1374A" w:rsidP="00A1374A">
      <w:pPr>
        <w:pStyle w:val="Bibliography"/>
      </w:pPr>
      <w:r>
        <w:t xml:space="preserve">Eshraghi, Aria, Jungyun Kim, Alexandra C. Walls, Hannah E. Ledvina, Cheryl N. Miller, Kathryn M. Ramsey, John C. Whitney, Matthew C. Radey, S. Brook Peterson, Brittany R. Ruhland, Bao Q. Tran, Young Ah Goo, David R. Goodlett, Simon L. Dove, Jean Celli, David Veesler, and Joseph D. Mougous. 2016. “Secreted Effectors Encoded within and Outside of the Francisella Pathogenicity Island Promote Intramacrophage Growth.” </w:t>
      </w:r>
      <w:r>
        <w:rPr>
          <w:i/>
          <w:iCs/>
        </w:rPr>
        <w:t>Cell Host &amp; Microbe</w:t>
      </w:r>
      <w:r>
        <w:t xml:space="preserve"> 20(5):573–83. doi: 10.1016/j.chom.2016.10.008.</w:t>
      </w:r>
    </w:p>
    <w:p w14:paraId="0109866B" w14:textId="77777777" w:rsidR="00A1374A" w:rsidRDefault="00A1374A" w:rsidP="00A1374A">
      <w:pPr>
        <w:pStyle w:val="Bibliography"/>
      </w:pPr>
      <w:r>
        <w:t xml:space="preserve">Faron, Matthew, Joshua Fletcher, Jed Rasmussen, Matthew Long, Lee-Ann Allen, and Bradley Jones. 2013. “The Francisella Tularensis migR, trmE, and cphA Genes Contribute to F. Tularensis Pathogenicity Island Gene Regulation and Intracellular Growth by Modulation of the Stress Alarmone ppGpp.” </w:t>
      </w:r>
      <w:r>
        <w:rPr>
          <w:i/>
          <w:iCs/>
        </w:rPr>
        <w:t>Infection and Immunity</w:t>
      </w:r>
      <w:r>
        <w:t xml:space="preserve"> 81. doi: 10.1128/IAI.00073-13.</w:t>
      </w:r>
    </w:p>
    <w:p w14:paraId="65766BB2" w14:textId="77777777" w:rsidR="00A1374A" w:rsidRDefault="00A1374A" w:rsidP="00A1374A">
      <w:pPr>
        <w:pStyle w:val="Bibliography"/>
      </w:pPr>
      <w:r>
        <w:t xml:space="preserve">Friedman, Lisa, Jeff D. Alder, and Jared A. Silverman. 2006. “Genetic Changes That Correlate with Reduced Susceptibility to Daptomycin in Staphylococcus Aureus.” </w:t>
      </w:r>
      <w:r>
        <w:rPr>
          <w:i/>
          <w:iCs/>
        </w:rPr>
        <w:t>Antimicrobial Agents and Chemotherapy</w:t>
      </w:r>
      <w:r>
        <w:t xml:space="preserve"> 50(6):2137–45. doi: 10.1128/aac.00039-06.</w:t>
      </w:r>
    </w:p>
    <w:p w14:paraId="0B0E67AE" w14:textId="77777777" w:rsidR="00A1374A" w:rsidRDefault="00A1374A" w:rsidP="00A1374A">
      <w:pPr>
        <w:pStyle w:val="Bibliography"/>
      </w:pPr>
      <w:r>
        <w:t>Fukuda, Ryuji. 1980. “Autogenous Regulation of the Synthesis of Ribosomal Proteins, L10 and L7/12, in Escherichia Coil.”</w:t>
      </w:r>
    </w:p>
    <w:p w14:paraId="42AC3F40" w14:textId="77777777" w:rsidR="00A1374A" w:rsidRDefault="00A1374A" w:rsidP="00A1374A">
      <w:pPr>
        <w:pStyle w:val="Bibliography"/>
      </w:pPr>
      <w:r>
        <w:t xml:space="preserve">Galperin, Michael Y., Yuri I. Wolf, Sofya K. Garushyants, Roberto Vera Alvarez, and Eugene V. Koonin. 2021. “Nonessential Ribosomal Proteins in Bacteria and Archaea Identified Using Clusters of Orthologous Genes.” </w:t>
      </w:r>
      <w:r>
        <w:rPr>
          <w:i/>
          <w:iCs/>
        </w:rPr>
        <w:t>Journal of Bacteriology</w:t>
      </w:r>
      <w:r>
        <w:t xml:space="preserve"> 203(11):e00058-21. doi: 10.1128/JB.00058-21.</w:t>
      </w:r>
    </w:p>
    <w:p w14:paraId="65034733" w14:textId="77777777" w:rsidR="00A1374A" w:rsidRDefault="00A1374A" w:rsidP="00A1374A">
      <w:pPr>
        <w:pStyle w:val="Bibliography"/>
      </w:pPr>
      <w:r>
        <w:t xml:space="preserve">Golovliov, I., M. Ericsson, G. Sandström, A. Tärnvik, and A. Sjöstedt. 1997. “Identification of Proteins of Francisella Tularensis Induced during Growth in Macrophages and Cloning of the Gene Encoding a Prominently Induced 23-Kilodalton Protein.” </w:t>
      </w:r>
      <w:r>
        <w:rPr>
          <w:i/>
          <w:iCs/>
        </w:rPr>
        <w:t>Infection and Immunity</w:t>
      </w:r>
      <w:r>
        <w:t xml:space="preserve"> 65(6):2183–89.</w:t>
      </w:r>
    </w:p>
    <w:p w14:paraId="49CF5E45" w14:textId="77777777" w:rsidR="00A1374A" w:rsidRDefault="00A1374A" w:rsidP="00A1374A">
      <w:pPr>
        <w:pStyle w:val="Bibliography"/>
      </w:pPr>
      <w:r>
        <w:lastRenderedPageBreak/>
        <w:t xml:space="preserve">Gutierrez, Maria G., Deborah R. Yoder-Himes, and Jonathan M. Warawa. 2015. “Comprehensive Identification of Virulence Factors Required for Respiratory Melioidosis Using Tn-Seq Mutagenesis.” </w:t>
      </w:r>
      <w:r>
        <w:rPr>
          <w:i/>
          <w:iCs/>
        </w:rPr>
        <w:t>Frontiers in Cellular and Infection Microbiology</w:t>
      </w:r>
      <w:r>
        <w:t xml:space="preserve"> 5:78. doi: 10.3389/fcimb.2015.00078.</w:t>
      </w:r>
    </w:p>
    <w:p w14:paraId="336068BD" w14:textId="77777777" w:rsidR="00A1374A" w:rsidRDefault="00A1374A" w:rsidP="00A1374A">
      <w:pPr>
        <w:pStyle w:val="Bibliography"/>
      </w:pPr>
      <w:r>
        <w:t xml:space="preserve">Hesselbrock, W., and L. Foshay. 1945. “The Morphology of Bacterium Tularense.” </w:t>
      </w:r>
      <w:r>
        <w:rPr>
          <w:i/>
          <w:iCs/>
        </w:rPr>
        <w:t>Journal of Bacteriology</w:t>
      </w:r>
      <w:r>
        <w:t xml:space="preserve"> 49(3):209–31. doi: 10.1128/jb.49.3.209-231.1945.</w:t>
      </w:r>
    </w:p>
    <w:p w14:paraId="149EF52D" w14:textId="77777777" w:rsidR="00A1374A" w:rsidRDefault="00A1374A" w:rsidP="00A1374A">
      <w:pPr>
        <w:pStyle w:val="Bibliography"/>
      </w:pPr>
      <w:r>
        <w:t xml:space="preserve">Jones, Bradley, Matt Faron, Jed Rasmussen, and Josh Fletcher. 2014. “Uncovering the Components of the Francisella Tularensis Virulence Stealth Strategy.” </w:t>
      </w:r>
      <w:r>
        <w:rPr>
          <w:i/>
          <w:iCs/>
        </w:rPr>
        <w:t>Frontiers in Cellular and Infection Microbiology</w:t>
      </w:r>
      <w:r>
        <w:t xml:space="preserve"> 4.</w:t>
      </w:r>
    </w:p>
    <w:p w14:paraId="31308302" w14:textId="77777777" w:rsidR="00A1374A" w:rsidRDefault="00A1374A" w:rsidP="00A1374A">
      <w:pPr>
        <w:pStyle w:val="Bibliography"/>
      </w:pPr>
      <w:r>
        <w:t xml:space="preserve">Kajitani, M., and A. Ishihama. 1983. “Determination of the Promoter Strength in the Mixed Transcription System: Promoters of Lactose, Tryptophan and Ribosomal Protein L10 Operons from Escherichia Coli.” </w:t>
      </w:r>
      <w:r>
        <w:rPr>
          <w:i/>
          <w:iCs/>
        </w:rPr>
        <w:t>Nucleic Acids Research</w:t>
      </w:r>
      <w:r>
        <w:t xml:space="preserve"> 11(3):671–86.</w:t>
      </w:r>
    </w:p>
    <w:p w14:paraId="2D1EBE64" w14:textId="77777777" w:rsidR="00A1374A" w:rsidRDefault="00A1374A" w:rsidP="00A1374A">
      <w:pPr>
        <w:pStyle w:val="Bibliography"/>
      </w:pPr>
      <w:r>
        <w:t xml:space="preserve">Keim, Paul, Anders Johansson, and David M. Wagner. 2007. “Molecular Epidemiology, Evolution, and Ecology of Francisella.” </w:t>
      </w:r>
      <w:r>
        <w:rPr>
          <w:i/>
          <w:iCs/>
        </w:rPr>
        <w:t>Annals of the New York Academy of Sciences</w:t>
      </w:r>
      <w:r>
        <w:t xml:space="preserve"> 1105(1):30–66. doi: 10.1196/annals.1409.011.</w:t>
      </w:r>
    </w:p>
    <w:p w14:paraId="0F7AD3EE" w14:textId="77777777" w:rsidR="00A1374A" w:rsidRDefault="00A1374A" w:rsidP="00A1374A">
      <w:pPr>
        <w:pStyle w:val="Bibliography"/>
      </w:pPr>
      <w:r>
        <w:t xml:space="preserve">Kingry, Luke C., and Jeannine M. Petersen. 2014. “Comparative Review of Francisella Tularensis and Francisella Novicida.” </w:t>
      </w:r>
      <w:r>
        <w:rPr>
          <w:i/>
          <w:iCs/>
        </w:rPr>
        <w:t>Frontiers in Cellular and Infection Microbiology</w:t>
      </w:r>
      <w:r>
        <w:t xml:space="preserve"> 4:35. doi: 10.3389/fcimb.2014.00035.</w:t>
      </w:r>
    </w:p>
    <w:p w14:paraId="7620FD84" w14:textId="77777777" w:rsidR="00A1374A" w:rsidRDefault="00A1374A" w:rsidP="00A1374A">
      <w:pPr>
        <w:pStyle w:val="Bibliography"/>
      </w:pPr>
      <w:r>
        <w:t xml:space="preserve">Lai, Xin-He, Igor Golovliov, and Anders Sjöstedt. 2004. “Expression of IglC Is Necessary for Intracellular Growth and Induction of Apoptosis in Murine Macrophages by Francisella Tularensis.” </w:t>
      </w:r>
      <w:r>
        <w:rPr>
          <w:i/>
          <w:iCs/>
        </w:rPr>
        <w:t>Microbial Pathogenesis</w:t>
      </w:r>
      <w:r>
        <w:t xml:space="preserve"> 37(5):225–30. doi: 10.1016/j.micpath.2004.07.002.</w:t>
      </w:r>
    </w:p>
    <w:p w14:paraId="6AAAA9A9" w14:textId="3EC68C86" w:rsidR="00A1374A" w:rsidRDefault="00A1374A" w:rsidP="00A1374A">
      <w:pPr>
        <w:pStyle w:val="Bibliography"/>
      </w:pPr>
      <w:r>
        <w:t>Larsson, Pär, Petra C. F. Oyston, Patrick Chain, May C. Chu, Melanie Duffield, Hans-Henrik Fuxelius, Emilio Garcia, Greger Hälltorp, Daniel Johansson, Karen E. Isherwood, Peter D. Karp, Eva Larsson, Ying Liu, Stephen Michell, Joann Prior, Richard Prior, Stephanie Malfatti, Anders Sjöstedt, Kerstin Svensson</w:t>
      </w:r>
      <w:r w:rsidR="005028D6">
        <w:t>...</w:t>
      </w:r>
      <w:r>
        <w:t xml:space="preserve"> Richard W. Titball. 2005. “The Complete Genome Sequence of Francisella Tularensis, the Causative Agent of Tularemia.” </w:t>
      </w:r>
      <w:r>
        <w:rPr>
          <w:i/>
          <w:iCs/>
        </w:rPr>
        <w:t>Nature Genetics</w:t>
      </w:r>
      <w:r>
        <w:t xml:space="preserve"> 37(2):153–59. doi: 10.1038/ng1499.</w:t>
      </w:r>
    </w:p>
    <w:p w14:paraId="303BAA36" w14:textId="77777777" w:rsidR="00A1374A" w:rsidRDefault="00A1374A" w:rsidP="00A1374A">
      <w:pPr>
        <w:pStyle w:val="Bibliography"/>
      </w:pPr>
      <w:r>
        <w:t xml:space="preserve">Li, Yunlong, Jamie H. Corro, Christopher D. Palmer, and Anil K. Ojha. 2020. “Progression from Remodeling to Hibernation of Ribosomes in Zinc-Starved Mycobacteria.” </w:t>
      </w:r>
      <w:r>
        <w:rPr>
          <w:i/>
          <w:iCs/>
        </w:rPr>
        <w:t>Proceedings of the National Academy of Sciences</w:t>
      </w:r>
      <w:r>
        <w:t xml:space="preserve"> 117(32):19528–37. doi: 10.1073/pnas.2013409117.</w:t>
      </w:r>
    </w:p>
    <w:p w14:paraId="7BFDB015" w14:textId="77777777" w:rsidR="00A1374A" w:rsidRDefault="00A1374A" w:rsidP="00A1374A">
      <w:pPr>
        <w:pStyle w:val="Bibliography"/>
      </w:pPr>
      <w:r>
        <w:t xml:space="preserve">Lilleorg, Silva, Kaspar Reier, Pavel Volõnkin, Jaanus Remme, and Aivar Liiv. 2020. “Phenotypic Effects of Paralogous Ribosomal Proteins bL31A </w:t>
      </w:r>
      <w:r>
        <w:lastRenderedPageBreak/>
        <w:t xml:space="preserve">and bL31B in E. Coli.” </w:t>
      </w:r>
      <w:r>
        <w:rPr>
          <w:i/>
          <w:iCs/>
        </w:rPr>
        <w:t>Scientific Reports</w:t>
      </w:r>
      <w:r>
        <w:t xml:space="preserve"> 10(1):11682. doi: 10.1038/s41598-020-68582-2.</w:t>
      </w:r>
    </w:p>
    <w:p w14:paraId="4E5906FF" w14:textId="77777777" w:rsidR="00A1374A" w:rsidRDefault="00A1374A" w:rsidP="00A1374A">
      <w:pPr>
        <w:pStyle w:val="Bibliography"/>
      </w:pPr>
      <w:r>
        <w:t xml:space="preserve">Linn, Thomas, and J. Scaife. 1978. “Identification of a Single Promoter in E. Coli for rplJ, rplL and rpoBC.” </w:t>
      </w:r>
      <w:r>
        <w:rPr>
          <w:i/>
          <w:iCs/>
        </w:rPr>
        <w:t>Nature</w:t>
      </w:r>
      <w:r>
        <w:t xml:space="preserve"> 276(5683):33–37. doi: 10.1038/276033a0.</w:t>
      </w:r>
    </w:p>
    <w:p w14:paraId="486E37BB" w14:textId="77777777" w:rsidR="00A1374A" w:rsidRDefault="00A1374A" w:rsidP="00A1374A">
      <w:pPr>
        <w:pStyle w:val="Bibliography"/>
      </w:pPr>
      <w:r>
        <w:t xml:space="preserve">Miura, Chihiro, Ken Komatsu, Kensaku Maejima, Takamichi Nijo, Yugo Kitazawa, Tatsuya Tomomitsu, Akira Yusa, Misako Himeno, Kenro Oshima, and Shigetou Namba. 2015. “Functional Characterization of the Principal Sigma Factor RpoD of Phytoplasmas via an in Vitro Transcription Assay.” </w:t>
      </w:r>
      <w:r>
        <w:rPr>
          <w:i/>
          <w:iCs/>
        </w:rPr>
        <w:t>Scientific Reports</w:t>
      </w:r>
      <w:r>
        <w:t xml:space="preserve"> 5:11893. doi: 10.1038/srep11893.</w:t>
      </w:r>
    </w:p>
    <w:p w14:paraId="475CEBA2" w14:textId="77777777" w:rsidR="00A1374A" w:rsidRDefault="00A1374A" w:rsidP="00A1374A">
      <w:pPr>
        <w:pStyle w:val="Bibliography"/>
      </w:pPr>
      <w:r>
        <w:t xml:space="preserve">Mizuno, Carolina M., Charlotte Guyomar, Simon Roux, Régis Lavigne, Francisco Rodriguez-Valera, Matthew B. Sullivan, Reynald Gillet, Patrick Forterre, and Mart Krupovic. 2019. “Numerous Cultivated and Uncultivated Viruses Encode Ribosomal Proteins.” </w:t>
      </w:r>
      <w:r>
        <w:rPr>
          <w:i/>
          <w:iCs/>
        </w:rPr>
        <w:t>Nature Communications</w:t>
      </w:r>
      <w:r>
        <w:t xml:space="preserve"> 10(1):752. doi: 10.1038/s41467-019-08672-6.</w:t>
      </w:r>
    </w:p>
    <w:p w14:paraId="52C87281" w14:textId="77777777" w:rsidR="00A1374A" w:rsidRDefault="00A1374A" w:rsidP="00A1374A">
      <w:pPr>
        <w:pStyle w:val="Bibliography"/>
      </w:pPr>
      <w:r>
        <w:t xml:space="preserve">Murray, Gemma G. R., Jane Charlesworth, Eric L. Miller, Michael J. Casey, Catrin T. Lloyd, Marcelo Gottschalk, Alexander W. (Dan) Tucker, John J. Welch, and Lucy A. Weinert. 2021. “Genome Reduction Is Associated with Bacterial Pathogenicity across Different Scales of Temporal and Ecological Divergence.” </w:t>
      </w:r>
      <w:r>
        <w:rPr>
          <w:i/>
          <w:iCs/>
        </w:rPr>
        <w:t>Molecular Biology and Evolution</w:t>
      </w:r>
      <w:r>
        <w:t xml:space="preserve"> 38(4):1570–79. doi: 10.1093/molbev/msaa323.</w:t>
      </w:r>
    </w:p>
    <w:p w14:paraId="6EDD91BB" w14:textId="77777777" w:rsidR="00A1374A" w:rsidRDefault="00A1374A" w:rsidP="00A1374A">
      <w:pPr>
        <w:pStyle w:val="Bibliography"/>
      </w:pPr>
      <w:r>
        <w:t xml:space="preserve">Nanamiya, Hideaki, Genki Akanuma, Yousuke Natori, Rikinori Murayama, Saori Kosono, Toshiaki Kudo, Kazuo Kobayashi, Naotake Ogasawara, Seung-Moon Park, Kozo Ochi, and Fujio Kawamura. 2004. “Zinc Is a Key Factor in Controlling Alternation of Two Types of L31 Protein in the Bacillus Subtilis Ribosome.” </w:t>
      </w:r>
      <w:r>
        <w:rPr>
          <w:i/>
          <w:iCs/>
        </w:rPr>
        <w:t>Molecular Microbiology</w:t>
      </w:r>
      <w:r>
        <w:t xml:space="preserve"> 52(1):273–83. doi: 10.1111/j.1365-2958.2003.03972.x.</w:t>
      </w:r>
    </w:p>
    <w:p w14:paraId="452CAF17" w14:textId="77777777" w:rsidR="00A1374A" w:rsidRDefault="00A1374A" w:rsidP="00A1374A">
      <w:pPr>
        <w:pStyle w:val="Bibliography"/>
      </w:pPr>
      <w:r>
        <w:t xml:space="preserve">Nanamiya, Hideaki, and Fujio Kawamura. 2010. “Towards an Elucidation of the Roles of the Ribosome during Different Growth Phases in Bacillus Subtilis.” </w:t>
      </w:r>
      <w:r>
        <w:rPr>
          <w:i/>
          <w:iCs/>
        </w:rPr>
        <w:t>Bioscience, Biotechnology, and Biochemistry</w:t>
      </w:r>
      <w:r>
        <w:t xml:space="preserve"> 74(3):451–61. doi: 10.1271/bbb.90859.</w:t>
      </w:r>
    </w:p>
    <w:p w14:paraId="5E45DE72" w14:textId="77777777" w:rsidR="00A1374A" w:rsidRDefault="00A1374A" w:rsidP="00A1374A">
      <w:pPr>
        <w:pStyle w:val="Bibliography"/>
      </w:pPr>
      <w:r>
        <w:t xml:space="preserve">Nanamiya, Hideaki, Fujio Kawamura, and Saori Kosono. 2006. “Proteomic Study of the </w:t>
      </w:r>
      <w:r>
        <w:rPr>
          <w:i/>
          <w:iCs/>
        </w:rPr>
        <w:t>Bacillus Subtilis</w:t>
      </w:r>
      <w:r>
        <w:t xml:space="preserve"> Ribosome: Finding of Zinc-Dependent Replacement for Ribosomal Protein L31 Paralogues.” </w:t>
      </w:r>
      <w:r>
        <w:rPr>
          <w:i/>
          <w:iCs/>
        </w:rPr>
        <w:t>The Journal of General and Applied Microbiology</w:t>
      </w:r>
      <w:r>
        <w:t xml:space="preserve"> 52(5):249–58. doi: 10.2323/jgam.52.249.</w:t>
      </w:r>
    </w:p>
    <w:p w14:paraId="39739421" w14:textId="77777777" w:rsidR="00A1374A" w:rsidRDefault="00A1374A" w:rsidP="00A1374A">
      <w:pPr>
        <w:pStyle w:val="Bibliography"/>
      </w:pPr>
      <w:r>
        <w:t xml:space="preserve">Nano, Francis E., and Crystal Schmerk. 2007. “The Francisella Pathogenicity Island.” </w:t>
      </w:r>
      <w:r>
        <w:rPr>
          <w:i/>
          <w:iCs/>
        </w:rPr>
        <w:t>Annals of the New York Academy of Sciences</w:t>
      </w:r>
      <w:r>
        <w:t xml:space="preserve"> 1105(1):122–37. doi: 10.1196/annals.1409.000.</w:t>
      </w:r>
    </w:p>
    <w:p w14:paraId="2206923A" w14:textId="77777777" w:rsidR="00A1374A" w:rsidRDefault="00A1374A" w:rsidP="00A1374A">
      <w:pPr>
        <w:pStyle w:val="Bibliography"/>
      </w:pPr>
      <w:r>
        <w:lastRenderedPageBreak/>
        <w:t xml:space="preserve">Nano, Francis E., Na Zhang, Siobhán C. Cowley, Karl E. Klose, Karen K. M. Cheung, Michael J. Roberts, Jagjit S. Ludu, Gregg W. Letendre, Anda I. Meierovics, Gwen Stephens, and Karen L. Elkins. 2004. “A Francisella Tularensis Pathogenicity Island Required for Intramacrophage Growth.” </w:t>
      </w:r>
      <w:r>
        <w:rPr>
          <w:i/>
          <w:iCs/>
        </w:rPr>
        <w:t>Journal of Bacteriology</w:t>
      </w:r>
      <w:r>
        <w:t xml:space="preserve"> 186(19):6430–36. doi: 10.1128/JB.186.19.6430-6436.2004.</w:t>
      </w:r>
    </w:p>
    <w:p w14:paraId="7124858C" w14:textId="77777777" w:rsidR="00A1374A" w:rsidRDefault="00A1374A" w:rsidP="00A1374A">
      <w:pPr>
        <w:pStyle w:val="Bibliography"/>
      </w:pPr>
      <w:r>
        <w:t xml:space="preserve">de Narvaez, C. Cowgill, and H. W. Schaup. 1979. “In Vivo Transcriptionally Coupled Assembly of Escherichia Coli Ribosomal Subunits.” </w:t>
      </w:r>
      <w:r>
        <w:rPr>
          <w:i/>
          <w:iCs/>
        </w:rPr>
        <w:t>Journal of Molecular Biology</w:t>
      </w:r>
      <w:r>
        <w:t xml:space="preserve"> 134(1):1–22. doi: 10.1016/0022-2836(79)90411-X.</w:t>
      </w:r>
    </w:p>
    <w:p w14:paraId="21243AD5" w14:textId="77777777" w:rsidR="00A1374A" w:rsidRDefault="00A1374A" w:rsidP="00A1374A">
      <w:pPr>
        <w:pStyle w:val="Bibliography"/>
      </w:pPr>
      <w:r>
        <w:t>O’Connell, Kevin, and Michael Thomashow. 2000. “Transcriptional Organization and Regulation of a Polycistronic Cold Shock Operon in Sinorhizobium Meliloti RM1021 Encoding Homologs of the Escherichia Coli Major Cold Shock Gene cspA and Ribosomal Protein GenerpsU.” Retrieved May 8, 2023 (https://journals.asm.org/doi/epdf/10.1128/AEM.66.1.392-400.2000).</w:t>
      </w:r>
    </w:p>
    <w:p w14:paraId="05F1B14F" w14:textId="77777777" w:rsidR="00A1374A" w:rsidRDefault="00A1374A" w:rsidP="00A1374A">
      <w:pPr>
        <w:pStyle w:val="Bibliography"/>
      </w:pPr>
      <w:r>
        <w:t xml:space="preserve">Olsufjev, N. G., and I. S. Meshcheryakova,. 1983. “Subspecific Taxonomy of Francisella Tularensis McCoy and Chapin 1912†.” </w:t>
      </w:r>
      <w:r>
        <w:rPr>
          <w:i/>
          <w:iCs/>
        </w:rPr>
        <w:t>International Journal of Systematic and Evolutionary Microbiology</w:t>
      </w:r>
      <w:r>
        <w:t xml:space="preserve"> 33(4):872–74. doi: 10.1099/00207713-33-4-872.</w:t>
      </w:r>
    </w:p>
    <w:p w14:paraId="242BD275" w14:textId="77777777" w:rsidR="00A1374A" w:rsidRDefault="00A1374A" w:rsidP="00A1374A">
      <w:pPr>
        <w:pStyle w:val="Bibliography"/>
      </w:pPr>
      <w:r>
        <w:t xml:space="preserve">Paul, Brian J., Wilma Ross, Tamas Gaal, and Richard L. Gourse. 2004. “rRNA Transcription in Escherichia Coli.” </w:t>
      </w:r>
      <w:r>
        <w:rPr>
          <w:i/>
          <w:iCs/>
        </w:rPr>
        <w:t>Annual Review of Genetics</w:t>
      </w:r>
      <w:r>
        <w:t xml:space="preserve"> 38(1):749–70. doi: 10.1146/annurev.genet.38.072902.091347.</w:t>
      </w:r>
    </w:p>
    <w:p w14:paraId="4035932B" w14:textId="77777777" w:rsidR="00A1374A" w:rsidRDefault="00A1374A" w:rsidP="00A1374A">
      <w:pPr>
        <w:pStyle w:val="Bibliography"/>
      </w:pPr>
      <w:r>
        <w:t xml:space="preserve">Petersen, C. 1990. “Escherichia Coli Ribosomal Protein L10 Is Rapidly Degraded When Synthesized in Excess of Ribosomal Protein L7/L12.” </w:t>
      </w:r>
      <w:r>
        <w:rPr>
          <w:i/>
          <w:iCs/>
        </w:rPr>
        <w:t>Journal of Bacteriology</w:t>
      </w:r>
      <w:r>
        <w:t xml:space="preserve"> 172(1):431–36.</w:t>
      </w:r>
    </w:p>
    <w:p w14:paraId="625BA918" w14:textId="77777777" w:rsidR="00A1374A" w:rsidRDefault="00A1374A" w:rsidP="00A1374A">
      <w:pPr>
        <w:pStyle w:val="Bibliography"/>
      </w:pPr>
      <w:r>
        <w:t xml:space="preserve">Petersen, Jeannine M., and Claudia R. Molins. 2010. “Subpopulations of Francisella Tularensis Ssp. Tularensis and Holarctica: Identification and Associated Epidemiology.” </w:t>
      </w:r>
      <w:r>
        <w:rPr>
          <w:i/>
          <w:iCs/>
        </w:rPr>
        <w:t>Future Microbiology</w:t>
      </w:r>
      <w:r>
        <w:t xml:space="preserve"> 5(4):649–61. doi: 10.2217/fmb.10.17.</w:t>
      </w:r>
    </w:p>
    <w:p w14:paraId="7172DAB4" w14:textId="77777777" w:rsidR="00A1374A" w:rsidRDefault="00A1374A" w:rsidP="00A1374A">
      <w:pPr>
        <w:pStyle w:val="Bibliography"/>
      </w:pPr>
      <w:r>
        <w:t xml:space="preserve">Prisic, Sladjana, Hyonson Hwang, Allexa Dow, Omar Barnaby, Tenny S. Pan, Jaymes A. Lonzanida, Walter J. Chazin, Hanno Steen, and Robert N. Husson. 2015. “Zinc Regulates a Switch between Primary and Alternative S18 Ribosomal Proteins in Mycobacterium Tuberculosis.” </w:t>
      </w:r>
      <w:r>
        <w:rPr>
          <w:i/>
          <w:iCs/>
        </w:rPr>
        <w:t>Molecular Microbiology</w:t>
      </w:r>
      <w:r>
        <w:t xml:space="preserve"> 97(2):263–80. doi: 10.1111/mmi.13022.</w:t>
      </w:r>
    </w:p>
    <w:p w14:paraId="5E3D1530" w14:textId="77777777" w:rsidR="00A1374A" w:rsidRDefault="00A1374A" w:rsidP="00A1374A">
      <w:pPr>
        <w:pStyle w:val="Bibliography"/>
      </w:pPr>
      <w:r>
        <w:t xml:space="preserve">Ramakrishnan, Girija, Bhaswati Sen, and Richard Johnson. 2012. “Paralogous Outer Membrane Proteins Mediate Uptake of Different Forms of Iron and Synergistically Govern Virulence in Francisella Tularensis Tularensis.” </w:t>
      </w:r>
      <w:r>
        <w:rPr>
          <w:i/>
          <w:iCs/>
        </w:rPr>
        <w:t>The Journal of Biological Chemistry</w:t>
      </w:r>
      <w:r>
        <w:t xml:space="preserve"> 287(30):25191–202. doi: 10.1074/jbc.M112.371856.</w:t>
      </w:r>
    </w:p>
    <w:p w14:paraId="6862BE8F" w14:textId="77777777" w:rsidR="00A1374A" w:rsidRDefault="00A1374A" w:rsidP="00A1374A">
      <w:pPr>
        <w:pStyle w:val="Bibliography"/>
      </w:pPr>
      <w:r>
        <w:lastRenderedPageBreak/>
        <w:t xml:space="preserve">Ramsey, Kathryn M., Melisa L. Osborne, Irina O. Vvedenskaya, Cathy Su, Bryce E. Nickels, and Simon L. Dove. 2015. “Ubiquitous Promoter-Localization of Essential Virulence Regulators in Francisella Tularensis.” </w:t>
      </w:r>
      <w:r>
        <w:rPr>
          <w:i/>
          <w:iCs/>
        </w:rPr>
        <w:t>PLOS Pathogens</w:t>
      </w:r>
      <w:r>
        <w:t xml:space="preserve"> 11(4):e1004793. doi: 10.1371/journal.ppat.1004793.</w:t>
      </w:r>
    </w:p>
    <w:p w14:paraId="2F3551E9" w14:textId="77777777" w:rsidR="00A1374A" w:rsidRDefault="00A1374A" w:rsidP="00A1374A">
      <w:pPr>
        <w:pStyle w:val="Bibliography"/>
      </w:pPr>
      <w:r>
        <w:t xml:space="preserve">Rasmussen, Rebecca A., Suning Wang, Jeannie M. Camarillo, Victoria Sosnowski, Byoung-Kyu Cho, Young Ah Goo, Julius B. Lucks, and Thomas V. O’Halloran. 2022. “Zur and Zinc Increase Expression of E. Coli Ribosomal Protein L31 through RNA-Mediated Repression of the Repressor L31p.” </w:t>
      </w:r>
      <w:r>
        <w:rPr>
          <w:i/>
          <w:iCs/>
        </w:rPr>
        <w:t>Nucleic Acids Research</w:t>
      </w:r>
      <w:r>
        <w:t xml:space="preserve"> 50(22):12739–53. doi: 10.1093/nar/gkac1086.</w:t>
      </w:r>
    </w:p>
    <w:p w14:paraId="2B9428F1" w14:textId="77777777" w:rsidR="00A1374A" w:rsidRDefault="00A1374A" w:rsidP="00A1374A">
      <w:pPr>
        <w:pStyle w:val="Bibliography"/>
      </w:pPr>
      <w:r>
        <w:t xml:space="preserve">Rauhut, Reinhard, and Gabriele Klug. 1999. “mRNA Degradation in Bacteria.” </w:t>
      </w:r>
      <w:r>
        <w:rPr>
          <w:i/>
          <w:iCs/>
        </w:rPr>
        <w:t>FEMS Microbiology Reviews</w:t>
      </w:r>
      <w:r>
        <w:t xml:space="preserve"> 23(3):353–70. doi: 10.1111/j.1574-6976.1999.tb00404.x.</w:t>
      </w:r>
    </w:p>
    <w:p w14:paraId="6DF38276" w14:textId="77777777" w:rsidR="00A1374A" w:rsidRDefault="00A1374A" w:rsidP="00A1374A">
      <w:pPr>
        <w:pStyle w:val="Bibliography"/>
      </w:pPr>
      <w:r>
        <w:t xml:space="preserve">Riffaud, Camille M., Elizabeth A. Rucks, and Scot P. Ouellette. 2023. “Persistence of Obligate Intracellular Pathogens: Alternative Strategies to Overcome Host-Specific Stresses.” </w:t>
      </w:r>
      <w:r>
        <w:rPr>
          <w:i/>
          <w:iCs/>
        </w:rPr>
        <w:t>Frontiers in Cellular and Infection Microbiology</w:t>
      </w:r>
      <w:r>
        <w:t xml:space="preserve"> 13.</w:t>
      </w:r>
    </w:p>
    <w:p w14:paraId="31E0CBB3" w14:textId="77777777" w:rsidR="00A1374A" w:rsidRDefault="00A1374A" w:rsidP="00A1374A">
      <w:pPr>
        <w:pStyle w:val="Bibliography"/>
      </w:pPr>
      <w:r>
        <w:t xml:space="preserve">Rohlfing, Amy E., and Simon L. Dove. 2014. “Coordinate Control of Virulence Gene Expression in Francisella Tularensis Involves Direct Interaction between Key Regulators.” </w:t>
      </w:r>
      <w:r>
        <w:rPr>
          <w:i/>
          <w:iCs/>
        </w:rPr>
        <w:t>Journal of Bacteriology</w:t>
      </w:r>
      <w:r>
        <w:t xml:space="preserve"> 196(19):3516–26. doi: 10.1128/jb.01700-14.</w:t>
      </w:r>
    </w:p>
    <w:p w14:paraId="17F35BFC" w14:textId="77777777" w:rsidR="00A1374A" w:rsidRDefault="00A1374A" w:rsidP="00A1374A">
      <w:pPr>
        <w:pStyle w:val="Bibliography"/>
      </w:pPr>
      <w:r>
        <w:t xml:space="preserve">Rohmer, Laurence, Mitchell Brittnacher, Kerstin Svensson, Danielle Buckley, Eric Haugen, Yang Zhou, Jean Chang, Ruth Levy, Hillary Hayden, Mats Forsman, Maynard Olson, Anders Johansson, Rajinder Kaul, and Samuel I. Miller. 2006. “Potential Source of Francisella Tularensis Live Vaccine Strain Attenuation Determined by Genome Comparison.” </w:t>
      </w:r>
      <w:r>
        <w:rPr>
          <w:i/>
          <w:iCs/>
        </w:rPr>
        <w:t>Infection and Immunity</w:t>
      </w:r>
      <w:r>
        <w:t xml:space="preserve"> 74(12):6895–6906. doi: 10.1128/iai.01006-06.</w:t>
      </w:r>
    </w:p>
    <w:p w14:paraId="6E1C90BC" w14:textId="77777777" w:rsidR="00A1374A" w:rsidRDefault="00A1374A" w:rsidP="00A1374A">
      <w:pPr>
        <w:pStyle w:val="Bibliography"/>
      </w:pPr>
      <w:r>
        <w:t xml:space="preserve">Rowe, Hannah M., and Jason F. Huntley. 2015. “From the Outside-In: The Francisella Tularensis Envelope and Virulence.” </w:t>
      </w:r>
      <w:r>
        <w:rPr>
          <w:i/>
          <w:iCs/>
        </w:rPr>
        <w:t>Frontiers in Cellular and Infection Microbiology</w:t>
      </w:r>
      <w:r>
        <w:t xml:space="preserve"> 5.</w:t>
      </w:r>
    </w:p>
    <w:p w14:paraId="58E9735B" w14:textId="77777777" w:rsidR="00A1374A" w:rsidRDefault="00A1374A" w:rsidP="00A1374A">
      <w:pPr>
        <w:pStyle w:val="Bibliography"/>
      </w:pPr>
      <w:r>
        <w:t xml:space="preserve">Rowen, L., and A. Kornberg. 1978. “Primase, the dnaG Protein of Escherichia Coli. An Enzyme Which Starts DNA Chains.” </w:t>
      </w:r>
      <w:r>
        <w:rPr>
          <w:i/>
          <w:iCs/>
        </w:rPr>
        <w:t>Journal of Biological Chemistry</w:t>
      </w:r>
      <w:r>
        <w:t xml:space="preserve"> 253(3):758–64. doi: 10.1016/S0021-9258(17)38167-X.</w:t>
      </w:r>
    </w:p>
    <w:p w14:paraId="0EFB5C07" w14:textId="77777777" w:rsidR="00A1374A" w:rsidRDefault="00A1374A" w:rsidP="00A1374A">
      <w:pPr>
        <w:pStyle w:val="Bibliography"/>
      </w:pPr>
      <w:r>
        <w:t xml:space="preserve">Salomonsson, Emelie, Kerstin Kuoppa, Anna-Lena Forslund, Carl Zingmark, Igor Golovliov, Anders Sjöstedt, Laila Noppa, and Åke Forsberg. 2009. “Reintroduction of Two Deleted Virulence Loci Restores Full Virulence to the Live Vaccine Strain of Francisella Tularensis.” </w:t>
      </w:r>
      <w:r>
        <w:rPr>
          <w:i/>
          <w:iCs/>
        </w:rPr>
        <w:t>Infection and Immunity</w:t>
      </w:r>
      <w:r>
        <w:t xml:space="preserve"> 77(8):3424–31. doi: 10.1128/IAI.00196-09.</w:t>
      </w:r>
    </w:p>
    <w:p w14:paraId="5C063695" w14:textId="77777777" w:rsidR="00A1374A" w:rsidRDefault="00A1374A" w:rsidP="00A1374A">
      <w:pPr>
        <w:pStyle w:val="Bibliography"/>
      </w:pPr>
      <w:r>
        <w:lastRenderedPageBreak/>
        <w:t xml:space="preserve">Shenhar, Yotam, Aviram Rasouly, Dvora Biran, and Eliora Z. Ron. 2009. “Adaptation of Escherichi Coli to Elevated Temperatures Involves a Change in Stability of Heat Shock Gene Transcripts.” </w:t>
      </w:r>
      <w:r>
        <w:rPr>
          <w:i/>
          <w:iCs/>
        </w:rPr>
        <w:t>Environmental Microbiology</w:t>
      </w:r>
      <w:r>
        <w:t xml:space="preserve"> 11(12):2989–97. doi: 10.1111/j.1462-2920.2009.01993.x.</w:t>
      </w:r>
    </w:p>
    <w:p w14:paraId="7568DB40" w14:textId="77777777" w:rsidR="00A1374A" w:rsidRDefault="00A1374A" w:rsidP="00A1374A">
      <w:pPr>
        <w:pStyle w:val="Bibliography"/>
      </w:pPr>
      <w:r>
        <w:t xml:space="preserve">Shin, Jung-Ho, and John D. Helmann. 2016. “Molecular Logic of the Zur-Regulated Zinc Deprivation Response in Bacillus Subtilis.” </w:t>
      </w:r>
      <w:r>
        <w:rPr>
          <w:i/>
          <w:iCs/>
        </w:rPr>
        <w:t>Nature Communications</w:t>
      </w:r>
      <w:r>
        <w:t xml:space="preserve"> 7(1):12612. doi: 10.1038/ncomms12612.</w:t>
      </w:r>
    </w:p>
    <w:p w14:paraId="52B02062" w14:textId="77777777" w:rsidR="00A1374A" w:rsidRDefault="00A1374A" w:rsidP="00A1374A">
      <w:pPr>
        <w:pStyle w:val="Bibliography"/>
      </w:pPr>
      <w:r>
        <w:t xml:space="preserve">Su, Jingliang, Jun Yang, Daimin Zhao, Thomas H. Kawula, Jeffrey A. Banas, and Jing-Ren Zhang. 2007. “Genome-Wide Identification of Francisella Tularensis Virulence Determinants.” </w:t>
      </w:r>
      <w:r>
        <w:rPr>
          <w:i/>
          <w:iCs/>
        </w:rPr>
        <w:t>Infection and Immunity</w:t>
      </w:r>
      <w:r>
        <w:t xml:space="preserve"> 75(6):3089–3101. doi: 10.1128/iai.01865-06.</w:t>
      </w:r>
    </w:p>
    <w:p w14:paraId="49D72C70" w14:textId="77777777" w:rsidR="00A1374A" w:rsidRDefault="00A1374A" w:rsidP="00A1374A">
      <w:pPr>
        <w:pStyle w:val="Bibliography"/>
      </w:pPr>
      <w:r>
        <w:t xml:space="preserve">Trautmann, Hannah, and Kathryn Ramsey. 2022. “A Ribosomal Protein Homolog Governs Gene Expression and Virulence in a Bacterial Pathogen.” </w:t>
      </w:r>
      <w:r>
        <w:rPr>
          <w:i/>
          <w:iCs/>
        </w:rPr>
        <w:t>Journal of Bacteriology</w:t>
      </w:r>
      <w:r>
        <w:t xml:space="preserve"> 204(10):e00268-22. doi: https://doi.org/10.1128/jb.00268-22.</w:t>
      </w:r>
    </w:p>
    <w:p w14:paraId="5ED0A08C" w14:textId="77777777" w:rsidR="00A1374A" w:rsidRDefault="00A1374A" w:rsidP="00A1374A">
      <w:pPr>
        <w:pStyle w:val="Bibliography"/>
      </w:pPr>
      <w:r>
        <w:t xml:space="preserve">Trautmann, Hannah, Sierra Schmidt, Steven Gregory, and Kathryn Ramsey. 2023. “Ribosome Heterogeneity Results in Leader Sequence-Mediated Regulation of Protein Synthesis in Francisella Tularensis.” </w:t>
      </w:r>
      <w:r>
        <w:rPr>
          <w:i/>
          <w:iCs/>
        </w:rPr>
        <w:t>Manuscript Submitted for Publication</w:t>
      </w:r>
      <w:r>
        <w:t>.</w:t>
      </w:r>
    </w:p>
    <w:p w14:paraId="04AC0F3A" w14:textId="77777777" w:rsidR="00A1374A" w:rsidRDefault="00A1374A" w:rsidP="00A1374A">
      <w:pPr>
        <w:pStyle w:val="Bibliography"/>
      </w:pPr>
      <w:r>
        <w:t xml:space="preserve">Travis, Brady A., Kathryn M. Ramsey, Samantha M. Prezioso, Thomas Tallo, Jamie M. Wandzilak, Allen Hsu, Mario Borgnia, Alberto Bartesaghi, Simon L. Dove, Richard G. Brennan, and Maria A. Schumacher. 2021. “Structural Basis for Virulence Activation of Francisella Tularensis.” </w:t>
      </w:r>
      <w:r>
        <w:rPr>
          <w:i/>
          <w:iCs/>
        </w:rPr>
        <w:t>Molecular Cell</w:t>
      </w:r>
      <w:r>
        <w:t xml:space="preserve"> 81(1):139-152.e10. doi: 10.1016/j.molcel.2020.10.035.</w:t>
      </w:r>
    </w:p>
    <w:p w14:paraId="57D0DAEB" w14:textId="77777777" w:rsidR="00A1374A" w:rsidRDefault="00A1374A" w:rsidP="00A1374A">
      <w:pPr>
        <w:pStyle w:val="Bibliography"/>
      </w:pPr>
      <w:r>
        <w:t xml:space="preserve">Travis, Brady A., and Maria A. Schumacher. 2022. “Diverse Molecular Mechanisms of Transcription Regulation by the Bacterial Alarmone ppGpp.” </w:t>
      </w:r>
      <w:r>
        <w:rPr>
          <w:i/>
          <w:iCs/>
        </w:rPr>
        <w:t>Molecular Microbiology</w:t>
      </w:r>
      <w:r>
        <w:t xml:space="preserve"> 117(2):252–60. doi: 10.1111/mmi.14860.</w:t>
      </w:r>
    </w:p>
    <w:p w14:paraId="026B41B7" w14:textId="77777777" w:rsidR="00A1374A" w:rsidRDefault="00A1374A" w:rsidP="00A1374A">
      <w:pPr>
        <w:pStyle w:val="Bibliography"/>
      </w:pPr>
      <w:r>
        <w:t xml:space="preserve">Turnbough, Charles L. 2019. “Regulation of Bacterial Gene Expression by Transcription Attenuation.” </w:t>
      </w:r>
      <w:r>
        <w:rPr>
          <w:i/>
          <w:iCs/>
        </w:rPr>
        <w:t>Microbiology and Molecular Biology Reviews</w:t>
      </w:r>
      <w:r>
        <w:t xml:space="preserve"> 83(3):10.1128/mmbr.00019-19. doi: 10.1128/mmbr.00019-19.</w:t>
      </w:r>
    </w:p>
    <w:p w14:paraId="67C4C2E0" w14:textId="77777777" w:rsidR="00A1374A" w:rsidRDefault="00A1374A" w:rsidP="00A1374A">
      <w:pPr>
        <w:pStyle w:val="Bibliography"/>
      </w:pPr>
      <w:r>
        <w:t xml:space="preserve">Van Duin, Jan, and Wijnands Robert. 1981. “The Function of Ribosomal Protein S21 in Protein Synthesis.” </w:t>
      </w:r>
      <w:r>
        <w:rPr>
          <w:i/>
          <w:iCs/>
        </w:rPr>
        <w:t>European Journal of Biochemistry</w:t>
      </w:r>
      <w:r>
        <w:t xml:space="preserve"> 118(3):615–19. doi: 10.1111/j.1432-1033.1981.tb05563.x.</w:t>
      </w:r>
    </w:p>
    <w:p w14:paraId="0274EA77" w14:textId="77777777" w:rsidR="00A1374A" w:rsidRDefault="00A1374A" w:rsidP="00A1374A">
      <w:pPr>
        <w:pStyle w:val="Bibliography"/>
      </w:pPr>
      <w:r>
        <w:t xml:space="preserve">Versalovic, James, Thearith Koeuth, Robert Britton, Kati Geszvain, and James R. Lupski. 1993. “Conservation and Evolution of the rpsU-dnaG-rpoD Macromolecular Synthesis Operon in Bacteria.” </w:t>
      </w:r>
      <w:r>
        <w:rPr>
          <w:i/>
          <w:iCs/>
        </w:rPr>
        <w:t>Molecular Microbiology</w:t>
      </w:r>
      <w:r>
        <w:t xml:space="preserve"> 8(2):343–55. doi: 10.1111/j.1365-2958.1993.tb01578.x.</w:t>
      </w:r>
    </w:p>
    <w:p w14:paraId="5A538E9A" w14:textId="77777777" w:rsidR="00A1374A" w:rsidRDefault="00A1374A" w:rsidP="00A1374A">
      <w:pPr>
        <w:pStyle w:val="Bibliography"/>
      </w:pPr>
      <w:r>
        <w:lastRenderedPageBreak/>
        <w:t xml:space="preserve">Yamamoto, M., and M. Nomura. 1978. “Contranscription of Genes for RNA Polymerase Subunits Beta and Beta’ with Genes for Ribosomal Proteins in Escherichia Coli.” </w:t>
      </w:r>
      <w:r>
        <w:rPr>
          <w:i/>
          <w:iCs/>
        </w:rPr>
        <w:t>Proceedings of the National Academy of Sciences of the United States of America</w:t>
      </w:r>
      <w:r>
        <w:t xml:space="preserve"> 75(8):3891–95.</w:t>
      </w:r>
    </w:p>
    <w:p w14:paraId="52928CB4" w14:textId="77777777" w:rsidR="00A1374A" w:rsidRDefault="00A1374A" w:rsidP="00A1374A">
      <w:pPr>
        <w:pStyle w:val="Bibliography"/>
      </w:pPr>
      <w:r>
        <w:t xml:space="preserve">Yates, J. L., D. Dean, W. A. Strycharz, and M. Nomura. 1981. “E. Coli Ribosomal Protein L10 Inhibits Translation of L10 and L7/L12 mRNAs by Acting at a Single Site.” </w:t>
      </w:r>
      <w:r>
        <w:rPr>
          <w:i/>
          <w:iCs/>
        </w:rPr>
        <w:t>Nature</w:t>
      </w:r>
      <w:r>
        <w:t xml:space="preserve"> 294(5837):190–92. doi: 10.1038/294190a0.</w:t>
      </w:r>
    </w:p>
    <w:p w14:paraId="5B2CAF4E" w14:textId="77777777" w:rsidR="00A1374A" w:rsidRDefault="00A1374A" w:rsidP="00A1374A">
      <w:pPr>
        <w:pStyle w:val="Bibliography"/>
      </w:pPr>
      <w:r>
        <w:t xml:space="preserve">Yutin, Natalya, Pere Puigbò, Eugene V. Koonin, and Yuri I. Wolf. 2012. “Phylogenomics of Prokaryotic Ribosomal Proteins.” </w:t>
      </w:r>
      <w:r>
        <w:rPr>
          <w:i/>
          <w:iCs/>
        </w:rPr>
        <w:t>PLoS ONE</w:t>
      </w:r>
      <w:r>
        <w:t xml:space="preserve"> 7(5):e36972. doi: 10.1371/journal.pone.0036972.</w:t>
      </w:r>
    </w:p>
    <w:p w14:paraId="5C4E1BFA" w14:textId="77777777" w:rsidR="00A1374A" w:rsidRDefault="00A1374A" w:rsidP="00A1374A">
      <w:pPr>
        <w:pStyle w:val="Bibliography"/>
      </w:pPr>
      <w:r>
        <w:t xml:space="preserve">Zengel, Janice M., and Lasse Lindahl. 1994. “Diverse Mechanisms for Regulating Ribosomal Protein Synthesis in Escherichia Coli.” Pp. 331–70 in </w:t>
      </w:r>
      <w:r>
        <w:rPr>
          <w:i/>
          <w:iCs/>
        </w:rPr>
        <w:t>Progress in Nucleic Acid Research and Molecular Biology</w:t>
      </w:r>
      <w:r>
        <w:t>. Vol. 47. Elsevier.</w:t>
      </w:r>
    </w:p>
    <w:p w14:paraId="0E55D959" w14:textId="1DD0F23D" w:rsidR="0038061C" w:rsidRPr="00671685" w:rsidRDefault="0038061C" w:rsidP="0018004C">
      <w:pPr>
        <w:spacing w:line="480" w:lineRule="auto"/>
        <w:rPr>
          <w:rFonts w:cs="Arial"/>
          <w:szCs w:val="24"/>
        </w:rPr>
      </w:pPr>
      <w:r>
        <w:rPr>
          <w:rFonts w:cs="Arial"/>
          <w:szCs w:val="24"/>
        </w:rPr>
        <w:fldChar w:fldCharType="end"/>
      </w:r>
    </w:p>
    <w:sectPr w:rsidR="0038061C" w:rsidRPr="00671685">
      <w:headerReference w:type="default" r:id="rId15"/>
      <w:footerReference w:type="default" r:id="rId16"/>
      <w:pgSz w:w="12240" w:h="15840"/>
      <w:pgMar w:top="1440" w:right="1440" w:bottom="1440" w:left="2448" w:header="720" w:footer="720" w:gutter="0"/>
      <w:cols w:space="720"/>
      <w:formProt w:val="0"/>
      <w:docGrid w:linePitch="600" w:charSpace="3276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0E5275" w14:textId="77777777" w:rsidR="00882EAD" w:rsidRDefault="00882EAD">
      <w:r>
        <w:separator/>
      </w:r>
    </w:p>
  </w:endnote>
  <w:endnote w:type="continuationSeparator" w:id="0">
    <w:p w14:paraId="6F0559D5" w14:textId="77777777" w:rsidR="00882EAD" w:rsidRDefault="00882E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Liberation Serif">
    <w:altName w:val="Times New Roman"/>
    <w:charset w:val="00"/>
    <w:family w:val="roman"/>
    <w:pitch w:val="variable"/>
  </w:font>
  <w:font w:name="NSimSun">
    <w:panose1 w:val="02010609030101010101"/>
    <w:charset w:val="86"/>
    <w:family w:val="modern"/>
    <w:pitch w:val="fixed"/>
    <w:sig w:usb0="00000203" w:usb1="288F0000" w:usb2="00000016" w:usb3="00000000" w:csb0="00040001" w:csb1="00000000"/>
  </w:font>
  <w:font w:name="Lucida Sans">
    <w:altName w:val="Calibri"/>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B5A7C" w14:textId="77777777" w:rsidR="002F7F7A" w:rsidRDefault="00000000">
    <w:pPr>
      <w:pStyle w:val="Footer"/>
      <w:jc w:val="center"/>
    </w:pPr>
    <w:r>
      <w:fldChar w:fldCharType="begin"/>
    </w:r>
    <w:r>
      <w:instrText>PAGE</w:instrText>
    </w:r>
    <w:r>
      <w:fldChar w:fldCharType="separate"/>
    </w:r>
    <w:r>
      <w:t>xii</w:t>
    </w:r>
    <w:r>
      <w:fldChar w:fldCharType="end"/>
    </w:r>
  </w:p>
  <w:p w14:paraId="549B17D2" w14:textId="77777777" w:rsidR="002F7F7A" w:rsidRDefault="002F7F7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44101A" w14:textId="77777777" w:rsidR="002F7F7A" w:rsidRDefault="00000000">
    <w:pPr>
      <w:pStyle w:val="Footer"/>
      <w:jc w:val="center"/>
    </w:pPr>
    <w:r>
      <w:fldChar w:fldCharType="begin"/>
    </w:r>
    <w:r>
      <w:instrText>PAGE</w:instrText>
    </w:r>
    <w:r>
      <w:fldChar w:fldCharType="separate"/>
    </w:r>
    <w:r>
      <w:t>14</w:t>
    </w:r>
    <w:r>
      <w:fldChar w:fldCharType="end"/>
    </w:r>
  </w:p>
  <w:p w14:paraId="422A5930" w14:textId="77777777" w:rsidR="002F7F7A" w:rsidRDefault="002F7F7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806366" w14:textId="77777777" w:rsidR="00882EAD" w:rsidRDefault="00882EAD">
      <w:r>
        <w:separator/>
      </w:r>
    </w:p>
  </w:footnote>
  <w:footnote w:type="continuationSeparator" w:id="0">
    <w:p w14:paraId="6915EF53" w14:textId="77777777" w:rsidR="00882EAD" w:rsidRDefault="00882EA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83C870" w14:textId="77777777" w:rsidR="002F7F7A" w:rsidRDefault="002F7F7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142D8A" w14:textId="77777777" w:rsidR="002F7F7A" w:rsidRDefault="002F7F7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28E1404"/>
    <w:multiLevelType w:val="multilevel"/>
    <w:tmpl w:val="3B2466D4"/>
    <w:lvl w:ilvl="0">
      <w:start w:val="1"/>
      <w:numFmt w:val="none"/>
      <w:pStyle w:val="Heading1"/>
      <w:suff w:val="nothing"/>
      <w:lvlText w:val=""/>
      <w:lvlJc w:val="left"/>
      <w:pPr>
        <w:tabs>
          <w:tab w:val="num" w:pos="0"/>
        </w:tabs>
        <w:ind w:left="432" w:hanging="432"/>
      </w:pPr>
    </w:lvl>
    <w:lvl w:ilvl="1">
      <w:start w:val="1"/>
      <w:numFmt w:val="none"/>
      <w:pStyle w:val="Heading2"/>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num w:numId="1" w16cid:durableId="47896403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efaultTabStop w:val="720"/>
  <w:autoHyphenation/>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7F7A"/>
    <w:rsid w:val="00003A43"/>
    <w:rsid w:val="0000788C"/>
    <w:rsid w:val="00010199"/>
    <w:rsid w:val="00027A37"/>
    <w:rsid w:val="00031C71"/>
    <w:rsid w:val="00033821"/>
    <w:rsid w:val="00035659"/>
    <w:rsid w:val="00035BFA"/>
    <w:rsid w:val="00053424"/>
    <w:rsid w:val="00061551"/>
    <w:rsid w:val="00072422"/>
    <w:rsid w:val="00076D2B"/>
    <w:rsid w:val="000804F8"/>
    <w:rsid w:val="00084288"/>
    <w:rsid w:val="00086491"/>
    <w:rsid w:val="000864CF"/>
    <w:rsid w:val="00095D6E"/>
    <w:rsid w:val="000A54F6"/>
    <w:rsid w:val="000B0DD5"/>
    <w:rsid w:val="000B0EF0"/>
    <w:rsid w:val="000B10CC"/>
    <w:rsid w:val="000B4538"/>
    <w:rsid w:val="000B4FE4"/>
    <w:rsid w:val="000C0C2C"/>
    <w:rsid w:val="000C0E51"/>
    <w:rsid w:val="000C347F"/>
    <w:rsid w:val="000C63F1"/>
    <w:rsid w:val="000D1AA9"/>
    <w:rsid w:val="000D246E"/>
    <w:rsid w:val="000D6853"/>
    <w:rsid w:val="000E6BC0"/>
    <w:rsid w:val="000E79B5"/>
    <w:rsid w:val="000F2B9C"/>
    <w:rsid w:val="000F369F"/>
    <w:rsid w:val="000F3BF7"/>
    <w:rsid w:val="00100860"/>
    <w:rsid w:val="0010179D"/>
    <w:rsid w:val="001258D9"/>
    <w:rsid w:val="001266C4"/>
    <w:rsid w:val="00133072"/>
    <w:rsid w:val="001335DF"/>
    <w:rsid w:val="00142929"/>
    <w:rsid w:val="00152B01"/>
    <w:rsid w:val="00155874"/>
    <w:rsid w:val="001770C9"/>
    <w:rsid w:val="0018004C"/>
    <w:rsid w:val="00185591"/>
    <w:rsid w:val="001858D0"/>
    <w:rsid w:val="00186963"/>
    <w:rsid w:val="001977DD"/>
    <w:rsid w:val="001A37CF"/>
    <w:rsid w:val="001C0EBE"/>
    <w:rsid w:val="001D3713"/>
    <w:rsid w:val="001E2DE7"/>
    <w:rsid w:val="001E4514"/>
    <w:rsid w:val="001E7943"/>
    <w:rsid w:val="001F3B38"/>
    <w:rsid w:val="001F5416"/>
    <w:rsid w:val="001F6595"/>
    <w:rsid w:val="0020057A"/>
    <w:rsid w:val="002006E8"/>
    <w:rsid w:val="00201D98"/>
    <w:rsid w:val="00205F17"/>
    <w:rsid w:val="002107B2"/>
    <w:rsid w:val="00221104"/>
    <w:rsid w:val="00222B64"/>
    <w:rsid w:val="002279FA"/>
    <w:rsid w:val="00233709"/>
    <w:rsid w:val="00234177"/>
    <w:rsid w:val="00252468"/>
    <w:rsid w:val="00256073"/>
    <w:rsid w:val="0026167B"/>
    <w:rsid w:val="002751E4"/>
    <w:rsid w:val="00275B86"/>
    <w:rsid w:val="002955DF"/>
    <w:rsid w:val="0029656D"/>
    <w:rsid w:val="0029737F"/>
    <w:rsid w:val="002A0C0B"/>
    <w:rsid w:val="002A7F3D"/>
    <w:rsid w:val="002C16CC"/>
    <w:rsid w:val="002D2410"/>
    <w:rsid w:val="002E01A6"/>
    <w:rsid w:val="002E262C"/>
    <w:rsid w:val="002E2767"/>
    <w:rsid w:val="002E3DC2"/>
    <w:rsid w:val="002E44AF"/>
    <w:rsid w:val="002F7F7A"/>
    <w:rsid w:val="00300384"/>
    <w:rsid w:val="00311B67"/>
    <w:rsid w:val="003147AE"/>
    <w:rsid w:val="00315EF6"/>
    <w:rsid w:val="00320A40"/>
    <w:rsid w:val="003237BB"/>
    <w:rsid w:val="00343552"/>
    <w:rsid w:val="00353750"/>
    <w:rsid w:val="00356697"/>
    <w:rsid w:val="003708AA"/>
    <w:rsid w:val="0037684F"/>
    <w:rsid w:val="0038061C"/>
    <w:rsid w:val="00384C76"/>
    <w:rsid w:val="00387B85"/>
    <w:rsid w:val="00390AFC"/>
    <w:rsid w:val="00392D7A"/>
    <w:rsid w:val="00393E7B"/>
    <w:rsid w:val="0039427E"/>
    <w:rsid w:val="00394524"/>
    <w:rsid w:val="003A6567"/>
    <w:rsid w:val="003B6521"/>
    <w:rsid w:val="003C4E5B"/>
    <w:rsid w:val="003C6C5B"/>
    <w:rsid w:val="003D6B9C"/>
    <w:rsid w:val="003E5D67"/>
    <w:rsid w:val="003F2436"/>
    <w:rsid w:val="00400ACC"/>
    <w:rsid w:val="00405C64"/>
    <w:rsid w:val="00406F9E"/>
    <w:rsid w:val="00414783"/>
    <w:rsid w:val="004234FD"/>
    <w:rsid w:val="00427717"/>
    <w:rsid w:val="00430ECF"/>
    <w:rsid w:val="00435E9A"/>
    <w:rsid w:val="0044089A"/>
    <w:rsid w:val="0044729D"/>
    <w:rsid w:val="00450C36"/>
    <w:rsid w:val="00457C3B"/>
    <w:rsid w:val="004748C2"/>
    <w:rsid w:val="00474B50"/>
    <w:rsid w:val="004846B7"/>
    <w:rsid w:val="00485EFF"/>
    <w:rsid w:val="0048603A"/>
    <w:rsid w:val="004928ED"/>
    <w:rsid w:val="004B051F"/>
    <w:rsid w:val="004B0C23"/>
    <w:rsid w:val="004B7D26"/>
    <w:rsid w:val="004C1AFC"/>
    <w:rsid w:val="004C67D5"/>
    <w:rsid w:val="004D1A81"/>
    <w:rsid w:val="004D1FE4"/>
    <w:rsid w:val="004E0078"/>
    <w:rsid w:val="004E1067"/>
    <w:rsid w:val="004E29BD"/>
    <w:rsid w:val="004F1F82"/>
    <w:rsid w:val="004F3BD7"/>
    <w:rsid w:val="004F3DFF"/>
    <w:rsid w:val="004F5472"/>
    <w:rsid w:val="00501835"/>
    <w:rsid w:val="00501973"/>
    <w:rsid w:val="00501F9A"/>
    <w:rsid w:val="005028D6"/>
    <w:rsid w:val="00504EEE"/>
    <w:rsid w:val="00514542"/>
    <w:rsid w:val="00522B16"/>
    <w:rsid w:val="00530079"/>
    <w:rsid w:val="00532372"/>
    <w:rsid w:val="005357E1"/>
    <w:rsid w:val="00547E32"/>
    <w:rsid w:val="00551DC8"/>
    <w:rsid w:val="005721F0"/>
    <w:rsid w:val="005730C7"/>
    <w:rsid w:val="005733FE"/>
    <w:rsid w:val="00583D4A"/>
    <w:rsid w:val="0059414B"/>
    <w:rsid w:val="005A4AA7"/>
    <w:rsid w:val="005B1647"/>
    <w:rsid w:val="005B49BA"/>
    <w:rsid w:val="005C77D7"/>
    <w:rsid w:val="005D423C"/>
    <w:rsid w:val="005D525F"/>
    <w:rsid w:val="005D69A4"/>
    <w:rsid w:val="005D6AE7"/>
    <w:rsid w:val="005E0DBA"/>
    <w:rsid w:val="005E0ECA"/>
    <w:rsid w:val="005E1FB3"/>
    <w:rsid w:val="005E26B1"/>
    <w:rsid w:val="006015ED"/>
    <w:rsid w:val="00604DDA"/>
    <w:rsid w:val="00606611"/>
    <w:rsid w:val="0061131C"/>
    <w:rsid w:val="006210D5"/>
    <w:rsid w:val="00622D83"/>
    <w:rsid w:val="00625165"/>
    <w:rsid w:val="00626E82"/>
    <w:rsid w:val="00634C6C"/>
    <w:rsid w:val="0064082C"/>
    <w:rsid w:val="00642292"/>
    <w:rsid w:val="00643173"/>
    <w:rsid w:val="00644B70"/>
    <w:rsid w:val="006452FA"/>
    <w:rsid w:val="00651E94"/>
    <w:rsid w:val="0065313C"/>
    <w:rsid w:val="00671685"/>
    <w:rsid w:val="00674CD1"/>
    <w:rsid w:val="00680E95"/>
    <w:rsid w:val="00687B94"/>
    <w:rsid w:val="006A02F9"/>
    <w:rsid w:val="006A5E41"/>
    <w:rsid w:val="006B4AF2"/>
    <w:rsid w:val="006C4EA1"/>
    <w:rsid w:val="006E62EE"/>
    <w:rsid w:val="006E6AFD"/>
    <w:rsid w:val="006F0227"/>
    <w:rsid w:val="00715875"/>
    <w:rsid w:val="00722DAA"/>
    <w:rsid w:val="00730D26"/>
    <w:rsid w:val="00732F7B"/>
    <w:rsid w:val="00755A4F"/>
    <w:rsid w:val="00764A3E"/>
    <w:rsid w:val="007655F4"/>
    <w:rsid w:val="00766AB8"/>
    <w:rsid w:val="00770D16"/>
    <w:rsid w:val="00776CB5"/>
    <w:rsid w:val="00780B08"/>
    <w:rsid w:val="007850D7"/>
    <w:rsid w:val="007853B1"/>
    <w:rsid w:val="00787709"/>
    <w:rsid w:val="007944EB"/>
    <w:rsid w:val="00795B2C"/>
    <w:rsid w:val="00796484"/>
    <w:rsid w:val="0079662F"/>
    <w:rsid w:val="00797184"/>
    <w:rsid w:val="007A0A43"/>
    <w:rsid w:val="007A7473"/>
    <w:rsid w:val="007B2AB8"/>
    <w:rsid w:val="007C0CFA"/>
    <w:rsid w:val="007C3AD4"/>
    <w:rsid w:val="007C7FE6"/>
    <w:rsid w:val="007D15EA"/>
    <w:rsid w:val="007E51DA"/>
    <w:rsid w:val="007E7676"/>
    <w:rsid w:val="007F2304"/>
    <w:rsid w:val="00815088"/>
    <w:rsid w:val="00830E00"/>
    <w:rsid w:val="0083175F"/>
    <w:rsid w:val="00836E76"/>
    <w:rsid w:val="008515B7"/>
    <w:rsid w:val="00855923"/>
    <w:rsid w:val="00862385"/>
    <w:rsid w:val="00882A89"/>
    <w:rsid w:val="00882EAD"/>
    <w:rsid w:val="0089307A"/>
    <w:rsid w:val="00893C61"/>
    <w:rsid w:val="00894C53"/>
    <w:rsid w:val="008A063A"/>
    <w:rsid w:val="008A1ED5"/>
    <w:rsid w:val="008A4D6E"/>
    <w:rsid w:val="008A5C85"/>
    <w:rsid w:val="008B13A6"/>
    <w:rsid w:val="008B5515"/>
    <w:rsid w:val="008B644F"/>
    <w:rsid w:val="008B666A"/>
    <w:rsid w:val="008B7189"/>
    <w:rsid w:val="008B7FF6"/>
    <w:rsid w:val="008D6F6A"/>
    <w:rsid w:val="008F6D7F"/>
    <w:rsid w:val="0090591B"/>
    <w:rsid w:val="00910E46"/>
    <w:rsid w:val="009140AD"/>
    <w:rsid w:val="0091565C"/>
    <w:rsid w:val="00915DFA"/>
    <w:rsid w:val="00923507"/>
    <w:rsid w:val="00924EA8"/>
    <w:rsid w:val="00930F50"/>
    <w:rsid w:val="00936546"/>
    <w:rsid w:val="0094162D"/>
    <w:rsid w:val="00965FE2"/>
    <w:rsid w:val="00967B82"/>
    <w:rsid w:val="009729B8"/>
    <w:rsid w:val="00972E3F"/>
    <w:rsid w:val="0098253E"/>
    <w:rsid w:val="00985F1C"/>
    <w:rsid w:val="00990BE3"/>
    <w:rsid w:val="00990E47"/>
    <w:rsid w:val="009A2F56"/>
    <w:rsid w:val="009A36C7"/>
    <w:rsid w:val="009B38FE"/>
    <w:rsid w:val="009B45BA"/>
    <w:rsid w:val="009D4DA7"/>
    <w:rsid w:val="009E595E"/>
    <w:rsid w:val="009E6629"/>
    <w:rsid w:val="009E7A3F"/>
    <w:rsid w:val="00A11829"/>
    <w:rsid w:val="00A1374A"/>
    <w:rsid w:val="00A15FF7"/>
    <w:rsid w:val="00A16CE7"/>
    <w:rsid w:val="00A33115"/>
    <w:rsid w:val="00A37246"/>
    <w:rsid w:val="00A40EB8"/>
    <w:rsid w:val="00A43BB9"/>
    <w:rsid w:val="00A45830"/>
    <w:rsid w:val="00A51B98"/>
    <w:rsid w:val="00A55221"/>
    <w:rsid w:val="00A6178F"/>
    <w:rsid w:val="00A618B7"/>
    <w:rsid w:val="00A61BE8"/>
    <w:rsid w:val="00A63070"/>
    <w:rsid w:val="00A773A6"/>
    <w:rsid w:val="00A81C96"/>
    <w:rsid w:val="00A832D7"/>
    <w:rsid w:val="00A83BA0"/>
    <w:rsid w:val="00A9114D"/>
    <w:rsid w:val="00A933D4"/>
    <w:rsid w:val="00AA2486"/>
    <w:rsid w:val="00AA48E8"/>
    <w:rsid w:val="00AA578A"/>
    <w:rsid w:val="00AB54AA"/>
    <w:rsid w:val="00AC6791"/>
    <w:rsid w:val="00AE0C95"/>
    <w:rsid w:val="00AE18FD"/>
    <w:rsid w:val="00AE1E12"/>
    <w:rsid w:val="00AE7AAD"/>
    <w:rsid w:val="00AF49AF"/>
    <w:rsid w:val="00B03DF2"/>
    <w:rsid w:val="00B05031"/>
    <w:rsid w:val="00B06998"/>
    <w:rsid w:val="00B06FA7"/>
    <w:rsid w:val="00B1098C"/>
    <w:rsid w:val="00B22651"/>
    <w:rsid w:val="00B23E91"/>
    <w:rsid w:val="00B339CA"/>
    <w:rsid w:val="00B36788"/>
    <w:rsid w:val="00B436A0"/>
    <w:rsid w:val="00B43E01"/>
    <w:rsid w:val="00B451F3"/>
    <w:rsid w:val="00B50199"/>
    <w:rsid w:val="00B556C0"/>
    <w:rsid w:val="00B607B2"/>
    <w:rsid w:val="00B639A4"/>
    <w:rsid w:val="00B666B6"/>
    <w:rsid w:val="00B71B68"/>
    <w:rsid w:val="00B75281"/>
    <w:rsid w:val="00B779B4"/>
    <w:rsid w:val="00B80095"/>
    <w:rsid w:val="00BA7385"/>
    <w:rsid w:val="00BA7920"/>
    <w:rsid w:val="00BB08FD"/>
    <w:rsid w:val="00BB4345"/>
    <w:rsid w:val="00BD2DF5"/>
    <w:rsid w:val="00BD703A"/>
    <w:rsid w:val="00BE075B"/>
    <w:rsid w:val="00BE2F29"/>
    <w:rsid w:val="00C06A8D"/>
    <w:rsid w:val="00C3294A"/>
    <w:rsid w:val="00C45F5C"/>
    <w:rsid w:val="00C4785A"/>
    <w:rsid w:val="00C571C6"/>
    <w:rsid w:val="00C82E7B"/>
    <w:rsid w:val="00C862EA"/>
    <w:rsid w:val="00C8664F"/>
    <w:rsid w:val="00C93225"/>
    <w:rsid w:val="00C95F63"/>
    <w:rsid w:val="00CB3CAD"/>
    <w:rsid w:val="00CB6EC9"/>
    <w:rsid w:val="00CC0677"/>
    <w:rsid w:val="00CC0BDE"/>
    <w:rsid w:val="00CC2B64"/>
    <w:rsid w:val="00CC6CB9"/>
    <w:rsid w:val="00CD605B"/>
    <w:rsid w:val="00CE0627"/>
    <w:rsid w:val="00CE0F5E"/>
    <w:rsid w:val="00D00267"/>
    <w:rsid w:val="00D044A2"/>
    <w:rsid w:val="00D06FE2"/>
    <w:rsid w:val="00D1103A"/>
    <w:rsid w:val="00D24211"/>
    <w:rsid w:val="00D26E9A"/>
    <w:rsid w:val="00D301D0"/>
    <w:rsid w:val="00D32370"/>
    <w:rsid w:val="00D35E76"/>
    <w:rsid w:val="00D46ECA"/>
    <w:rsid w:val="00D5323D"/>
    <w:rsid w:val="00D56EDF"/>
    <w:rsid w:val="00D63E52"/>
    <w:rsid w:val="00D64B99"/>
    <w:rsid w:val="00D66F33"/>
    <w:rsid w:val="00D67C74"/>
    <w:rsid w:val="00D741E1"/>
    <w:rsid w:val="00DA7BC6"/>
    <w:rsid w:val="00DB23C1"/>
    <w:rsid w:val="00DB245E"/>
    <w:rsid w:val="00DD0C70"/>
    <w:rsid w:val="00DD1C1B"/>
    <w:rsid w:val="00DD2B65"/>
    <w:rsid w:val="00DD3EE8"/>
    <w:rsid w:val="00DE31C7"/>
    <w:rsid w:val="00DE5B9F"/>
    <w:rsid w:val="00DE66A1"/>
    <w:rsid w:val="00DE678E"/>
    <w:rsid w:val="00DF02C1"/>
    <w:rsid w:val="00E042C0"/>
    <w:rsid w:val="00E06299"/>
    <w:rsid w:val="00E06B03"/>
    <w:rsid w:val="00E1062E"/>
    <w:rsid w:val="00E13085"/>
    <w:rsid w:val="00E234B2"/>
    <w:rsid w:val="00E275AC"/>
    <w:rsid w:val="00E31C99"/>
    <w:rsid w:val="00E32909"/>
    <w:rsid w:val="00E32E44"/>
    <w:rsid w:val="00E45DFF"/>
    <w:rsid w:val="00E52080"/>
    <w:rsid w:val="00E57485"/>
    <w:rsid w:val="00E57BFC"/>
    <w:rsid w:val="00E677E0"/>
    <w:rsid w:val="00E746BF"/>
    <w:rsid w:val="00E74DF5"/>
    <w:rsid w:val="00E8328A"/>
    <w:rsid w:val="00E83EAB"/>
    <w:rsid w:val="00E9004B"/>
    <w:rsid w:val="00E92026"/>
    <w:rsid w:val="00E93F3D"/>
    <w:rsid w:val="00EA1DD0"/>
    <w:rsid w:val="00EA403E"/>
    <w:rsid w:val="00EB19A2"/>
    <w:rsid w:val="00EB4101"/>
    <w:rsid w:val="00EB4957"/>
    <w:rsid w:val="00EB745D"/>
    <w:rsid w:val="00ED21FF"/>
    <w:rsid w:val="00ED3342"/>
    <w:rsid w:val="00EE348C"/>
    <w:rsid w:val="00EE40EB"/>
    <w:rsid w:val="00EE72D9"/>
    <w:rsid w:val="00F02142"/>
    <w:rsid w:val="00F02458"/>
    <w:rsid w:val="00F13EEC"/>
    <w:rsid w:val="00F140A6"/>
    <w:rsid w:val="00F36236"/>
    <w:rsid w:val="00F40739"/>
    <w:rsid w:val="00F40DC0"/>
    <w:rsid w:val="00F47936"/>
    <w:rsid w:val="00F607FB"/>
    <w:rsid w:val="00F70911"/>
    <w:rsid w:val="00F7164F"/>
    <w:rsid w:val="00F74F60"/>
    <w:rsid w:val="00F8448C"/>
    <w:rsid w:val="00F87852"/>
    <w:rsid w:val="00F87BA2"/>
    <w:rsid w:val="00F931B6"/>
    <w:rsid w:val="00FA0E77"/>
    <w:rsid w:val="00FA1079"/>
    <w:rsid w:val="00FA43BD"/>
    <w:rsid w:val="00FA68D4"/>
    <w:rsid w:val="00FA6F67"/>
    <w:rsid w:val="00FC2721"/>
    <w:rsid w:val="00FC307F"/>
    <w:rsid w:val="00FC7808"/>
    <w:rsid w:val="00FD5025"/>
    <w:rsid w:val="00FE084C"/>
    <w:rsid w:val="00FE29F2"/>
    <w:rsid w:val="00FE51E8"/>
    <w:rsid w:val="00FF5859"/>
    <w:rsid w:val="00FF7C6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BD1FC0"/>
  <w15:docId w15:val="{16CE2BD0-6518-45D1-9BE0-8E2E149637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Liberation Serif" w:eastAsia="NSimSun" w:hAnsi="Liberation Serif" w:cs="Lucida Sans"/>
        <w:sz w:val="24"/>
        <w:szCs w:val="24"/>
        <w:lang w:val="en-US"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Times New Roman" w:hAnsi="Arial" w:cs="Times New Roman"/>
      <w:szCs w:val="20"/>
      <w:lang w:bidi="ar-SA"/>
    </w:rPr>
  </w:style>
  <w:style w:type="paragraph" w:styleId="Heading1">
    <w:name w:val="heading 1"/>
    <w:basedOn w:val="BodyTextFirstIndent"/>
    <w:next w:val="Text"/>
    <w:uiPriority w:val="9"/>
    <w:qFormat/>
    <w:pPr>
      <w:keepNext/>
      <w:numPr>
        <w:numId w:val="1"/>
      </w:numPr>
      <w:jc w:val="center"/>
      <w:outlineLvl w:val="0"/>
    </w:pPr>
    <w:rPr>
      <w:rFonts w:ascii="Arial" w:hAnsi="Arial"/>
      <w:b w:val="0"/>
      <w:sz w:val="24"/>
    </w:rPr>
  </w:style>
  <w:style w:type="paragraph" w:styleId="Heading2">
    <w:name w:val="heading 2"/>
    <w:basedOn w:val="Heading"/>
    <w:next w:val="BodyText"/>
    <w:uiPriority w:val="9"/>
    <w:unhideWhenUsed/>
    <w:qFormat/>
    <w:pPr>
      <w:numPr>
        <w:ilvl w:val="1"/>
        <w:numId w:val="1"/>
      </w:numPr>
      <w:spacing w:before="0" w:after="0"/>
      <w:outlineLvl w:val="1"/>
    </w:pPr>
    <w:rPr>
      <w:bCs/>
      <w:sz w:val="24"/>
      <w:szCs w:val="32"/>
    </w:rPr>
  </w:style>
  <w:style w:type="paragraph" w:styleId="Heading3">
    <w:name w:val="heading 3"/>
    <w:basedOn w:val="Normal"/>
    <w:next w:val="Normal"/>
    <w:link w:val="Heading3Char"/>
    <w:uiPriority w:val="9"/>
    <w:unhideWhenUsed/>
    <w:qFormat/>
    <w:rsid w:val="001F6595"/>
    <w:pPr>
      <w:spacing w:before="240" w:line="480" w:lineRule="auto"/>
      <w:outlineLvl w:val="2"/>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1z0">
    <w:name w:val="WW8Num1z0"/>
    <w:qFormat/>
  </w:style>
  <w:style w:type="character" w:customStyle="1" w:styleId="WW8Num1z1">
    <w:name w:val="WW8Num1z1"/>
    <w:qFormat/>
  </w:style>
  <w:style w:type="character" w:customStyle="1" w:styleId="WW8Num1z2">
    <w:name w:val="WW8Num1z2"/>
    <w:qFormat/>
  </w:style>
  <w:style w:type="character" w:customStyle="1" w:styleId="WW8Num1z3">
    <w:name w:val="WW8Num1z3"/>
    <w:qFormat/>
  </w:style>
  <w:style w:type="character" w:customStyle="1" w:styleId="WW8Num1z4">
    <w:name w:val="WW8Num1z4"/>
    <w:qFormat/>
  </w:style>
  <w:style w:type="character" w:customStyle="1" w:styleId="WW8Num1z5">
    <w:name w:val="WW8Num1z5"/>
    <w:qFormat/>
  </w:style>
  <w:style w:type="character" w:customStyle="1" w:styleId="WW8Num1z6">
    <w:name w:val="WW8Num1z6"/>
    <w:qFormat/>
  </w:style>
  <w:style w:type="character" w:customStyle="1" w:styleId="WW8Num1z7">
    <w:name w:val="WW8Num1z7"/>
    <w:qFormat/>
  </w:style>
  <w:style w:type="character" w:customStyle="1" w:styleId="WW8Num1z8">
    <w:name w:val="WW8Num1z8"/>
    <w:qFormat/>
  </w:style>
  <w:style w:type="character" w:styleId="PageNumber">
    <w:name w:val="page number"/>
    <w:basedOn w:val="DefaultParagraphFont"/>
  </w:style>
  <w:style w:type="character" w:customStyle="1" w:styleId="TitleChar">
    <w:name w:val="Title Char"/>
    <w:qFormat/>
    <w:rPr>
      <w:kern w:val="2"/>
      <w:sz w:val="24"/>
      <w:szCs w:val="24"/>
    </w:rPr>
  </w:style>
  <w:style w:type="character" w:customStyle="1" w:styleId="BodyTextChar">
    <w:name w:val="Body Text Char"/>
    <w:qFormat/>
    <w:rPr>
      <w:rFonts w:ascii="Courier New" w:hAnsi="Courier New" w:cs="Courier New"/>
      <w:b/>
      <w:bCs/>
      <w:szCs w:val="24"/>
    </w:rPr>
  </w:style>
  <w:style w:type="character" w:customStyle="1" w:styleId="FooterChar">
    <w:name w:val="Footer Char"/>
    <w:qFormat/>
    <w:rPr>
      <w:sz w:val="24"/>
    </w:rPr>
  </w:style>
  <w:style w:type="character" w:customStyle="1" w:styleId="Heading1Char">
    <w:name w:val="Heading 1 Char"/>
    <w:qFormat/>
    <w:rPr>
      <w:rFonts w:ascii="Courier New" w:hAnsi="Courier New" w:cs="Courier New"/>
      <w:b/>
      <w:bCs/>
      <w:szCs w:val="24"/>
      <w:u w:val="single"/>
    </w:rPr>
  </w:style>
  <w:style w:type="character" w:styleId="Hyperlink">
    <w:name w:val="Hyperlink"/>
    <w:uiPriority w:val="99"/>
    <w:rPr>
      <w:color w:val="0000FF"/>
      <w:u w:val="single"/>
    </w:rPr>
  </w:style>
  <w:style w:type="character" w:customStyle="1" w:styleId="BalloonTextChar">
    <w:name w:val="Balloon Text Char"/>
    <w:qFormat/>
    <w:rPr>
      <w:rFonts w:ascii="Tahoma" w:hAnsi="Tahoma" w:cs="Tahoma"/>
      <w:sz w:val="16"/>
      <w:szCs w:val="16"/>
    </w:rPr>
  </w:style>
  <w:style w:type="character" w:styleId="CommentReference">
    <w:name w:val="annotation reference"/>
    <w:qFormat/>
    <w:rPr>
      <w:sz w:val="16"/>
      <w:szCs w:val="16"/>
    </w:rPr>
  </w:style>
  <w:style w:type="character" w:customStyle="1" w:styleId="CommentTextChar">
    <w:name w:val="Comment Text Char"/>
    <w:basedOn w:val="DefaultParagraphFont"/>
    <w:qFormat/>
  </w:style>
  <w:style w:type="character" w:customStyle="1" w:styleId="CommentSubjectChar">
    <w:name w:val="Comment Subject Char"/>
    <w:qFormat/>
    <w:rPr>
      <w:b/>
      <w:bCs/>
    </w:rPr>
  </w:style>
  <w:style w:type="character" w:customStyle="1" w:styleId="IndexLink">
    <w:name w:val="Index Link"/>
    <w:qFormat/>
  </w:style>
  <w:style w:type="paragraph" w:customStyle="1" w:styleId="Heading">
    <w:name w:val="Heading"/>
    <w:basedOn w:val="Normal"/>
    <w:next w:val="BodyText"/>
    <w:qFormat/>
    <w:pPr>
      <w:keepNext/>
      <w:spacing w:before="240" w:after="120"/>
    </w:pPr>
    <w:rPr>
      <w:rFonts w:eastAsia="Microsoft YaHei" w:cs="Mangal"/>
      <w:sz w:val="28"/>
      <w:szCs w:val="28"/>
    </w:rPr>
  </w:style>
  <w:style w:type="paragraph" w:styleId="BodyText">
    <w:name w:val="Body Text"/>
    <w:basedOn w:val="Normal"/>
    <w:rPr>
      <w:rFonts w:ascii="Courier New" w:hAnsi="Courier New" w:cs="Courier New"/>
      <w:b/>
      <w:bCs/>
      <w:sz w:val="20"/>
      <w:szCs w:val="24"/>
    </w:rPr>
  </w:style>
  <w:style w:type="paragraph" w:styleId="List">
    <w:name w:val="List"/>
    <w:basedOn w:val="BodyText"/>
    <w:rPr>
      <w:rFonts w:cs="Mangal"/>
    </w:rPr>
  </w:style>
  <w:style w:type="paragraph" w:styleId="Caption">
    <w:name w:val="caption"/>
    <w:basedOn w:val="Normal"/>
    <w:uiPriority w:val="35"/>
    <w:qFormat/>
    <w:pPr>
      <w:suppressLineNumbers/>
      <w:spacing w:before="120" w:after="120"/>
    </w:pPr>
    <w:rPr>
      <w:rFonts w:cs="Mangal"/>
      <w:i/>
      <w:iCs/>
      <w:szCs w:val="24"/>
    </w:rPr>
  </w:style>
  <w:style w:type="paragraph" w:customStyle="1" w:styleId="Index">
    <w:name w:val="Index"/>
    <w:basedOn w:val="Normal"/>
    <w:qFormat/>
    <w:pPr>
      <w:suppressLineNumbers/>
    </w:pPr>
    <w:rPr>
      <w:rFonts w:cs="Mangal"/>
    </w:rPr>
  </w:style>
  <w:style w:type="paragraph" w:customStyle="1" w:styleId="HeaderandFooter">
    <w:name w:val="Header and Footer"/>
    <w:basedOn w:val="Normal"/>
    <w:qFormat/>
    <w:pPr>
      <w:suppressLineNumbers/>
      <w:tabs>
        <w:tab w:val="center" w:pos="4986"/>
        <w:tab w:val="right" w:pos="9972"/>
      </w:tabs>
    </w:pPr>
  </w:style>
  <w:style w:type="paragraph" w:styleId="Footer">
    <w:name w:val="footer"/>
    <w:basedOn w:val="Normal"/>
    <w:pPr>
      <w:tabs>
        <w:tab w:val="center" w:pos="4320"/>
        <w:tab w:val="right" w:pos="8640"/>
      </w:tabs>
    </w:pPr>
  </w:style>
  <w:style w:type="paragraph" w:styleId="Header">
    <w:name w:val="header"/>
    <w:basedOn w:val="Normal"/>
    <w:pPr>
      <w:tabs>
        <w:tab w:val="center" w:pos="4320"/>
        <w:tab w:val="right" w:pos="8640"/>
      </w:tabs>
    </w:pPr>
  </w:style>
  <w:style w:type="paragraph" w:styleId="Title">
    <w:name w:val="Title"/>
    <w:basedOn w:val="Normal"/>
    <w:next w:val="Subtitle"/>
    <w:uiPriority w:val="10"/>
    <w:qFormat/>
    <w:pPr>
      <w:widowControl w:val="0"/>
      <w:overflowPunct w:val="0"/>
      <w:autoSpaceDE w:val="0"/>
      <w:jc w:val="center"/>
    </w:pPr>
    <w:rPr>
      <w:kern w:val="2"/>
      <w:szCs w:val="24"/>
    </w:rPr>
  </w:style>
  <w:style w:type="paragraph" w:styleId="Subtitle">
    <w:name w:val="Subtitle"/>
    <w:basedOn w:val="Heading"/>
    <w:next w:val="BodyText"/>
    <w:uiPriority w:val="11"/>
    <w:qFormat/>
    <w:pPr>
      <w:jc w:val="center"/>
    </w:pPr>
    <w:rPr>
      <w:i/>
      <w:iCs/>
    </w:rPr>
  </w:style>
  <w:style w:type="paragraph" w:styleId="DocumentMap">
    <w:name w:val="Document Map"/>
    <w:basedOn w:val="Normal"/>
    <w:qFormat/>
    <w:pPr>
      <w:shd w:val="clear" w:color="auto" w:fill="000080"/>
    </w:pPr>
    <w:rPr>
      <w:rFonts w:ascii="Tahoma" w:hAnsi="Tahoma" w:cs="Tahoma"/>
      <w:sz w:val="20"/>
    </w:rPr>
  </w:style>
  <w:style w:type="paragraph" w:styleId="TOCHeading">
    <w:name w:val="TOC Heading"/>
    <w:basedOn w:val="Heading1"/>
    <w:next w:val="Normal"/>
    <w:qFormat/>
    <w:pPr>
      <w:keepLines/>
      <w:numPr>
        <w:numId w:val="0"/>
      </w:numPr>
      <w:spacing w:before="480" w:line="276" w:lineRule="auto"/>
    </w:pPr>
    <w:rPr>
      <w:rFonts w:ascii="Cambria" w:hAnsi="Cambria" w:cs="Times New Roman"/>
      <w:color w:val="365F91"/>
      <w:sz w:val="28"/>
      <w:szCs w:val="28"/>
    </w:rPr>
  </w:style>
  <w:style w:type="paragraph" w:styleId="TOC1">
    <w:name w:val="toc 1"/>
    <w:basedOn w:val="Normal"/>
    <w:next w:val="Normal"/>
    <w:uiPriority w:val="39"/>
    <w:pPr>
      <w:tabs>
        <w:tab w:val="right" w:leader="dot" w:pos="8342"/>
      </w:tabs>
      <w:spacing w:line="480" w:lineRule="auto"/>
      <w:ind w:left="360" w:hanging="360"/>
    </w:pPr>
  </w:style>
  <w:style w:type="paragraph" w:styleId="TOC2">
    <w:name w:val="toc 2"/>
    <w:basedOn w:val="Normal"/>
    <w:next w:val="Normal"/>
    <w:uiPriority w:val="39"/>
    <w:pPr>
      <w:spacing w:after="100" w:line="276" w:lineRule="auto"/>
      <w:ind w:left="220"/>
    </w:pPr>
    <w:rPr>
      <w:rFonts w:ascii="Calibri" w:hAnsi="Calibri"/>
      <w:sz w:val="22"/>
      <w:szCs w:val="22"/>
    </w:rPr>
  </w:style>
  <w:style w:type="paragraph" w:styleId="TOC3">
    <w:name w:val="toc 3"/>
    <w:basedOn w:val="Normal"/>
    <w:next w:val="Normal"/>
    <w:uiPriority w:val="39"/>
    <w:pPr>
      <w:spacing w:after="100" w:line="276" w:lineRule="auto"/>
      <w:ind w:left="440"/>
    </w:pPr>
    <w:rPr>
      <w:rFonts w:ascii="Calibri" w:hAnsi="Calibri"/>
      <w:sz w:val="22"/>
      <w:szCs w:val="22"/>
    </w:rPr>
  </w:style>
  <w:style w:type="paragraph" w:styleId="BalloonText">
    <w:name w:val="Balloon Text"/>
    <w:basedOn w:val="Normal"/>
    <w:qFormat/>
    <w:rPr>
      <w:rFonts w:ascii="Tahoma" w:hAnsi="Tahoma" w:cs="Tahoma"/>
      <w:sz w:val="16"/>
      <w:szCs w:val="16"/>
    </w:rPr>
  </w:style>
  <w:style w:type="paragraph" w:styleId="TableofFigures">
    <w:name w:val="table of figures"/>
    <w:basedOn w:val="Normal"/>
    <w:next w:val="Normal"/>
    <w:qFormat/>
  </w:style>
  <w:style w:type="paragraph" w:styleId="CommentText">
    <w:name w:val="annotation text"/>
    <w:basedOn w:val="Normal"/>
    <w:qFormat/>
    <w:rPr>
      <w:sz w:val="20"/>
    </w:rPr>
  </w:style>
  <w:style w:type="paragraph" w:styleId="CommentSubject">
    <w:name w:val="annotation subject"/>
    <w:basedOn w:val="CommentText"/>
    <w:next w:val="CommentText"/>
    <w:qFormat/>
    <w:rPr>
      <w:b/>
      <w:bCs/>
    </w:rPr>
  </w:style>
  <w:style w:type="paragraph" w:customStyle="1" w:styleId="WW-Default">
    <w:name w:val="WW-Default"/>
    <w:qFormat/>
    <w:pPr>
      <w:widowControl w:val="0"/>
      <w:autoSpaceDE w:val="0"/>
    </w:pPr>
    <w:rPr>
      <w:rFonts w:ascii="Arial" w:eastAsia="Times New Roman" w:hAnsi="Arial" w:cs="Arial"/>
      <w:color w:val="000000"/>
      <w:lang w:bidi="ar-SA"/>
    </w:rPr>
  </w:style>
  <w:style w:type="paragraph" w:styleId="TOC4">
    <w:name w:val="toc 4"/>
    <w:basedOn w:val="Index"/>
    <w:pPr>
      <w:tabs>
        <w:tab w:val="right" w:leader="dot" w:pos="9123"/>
      </w:tabs>
      <w:ind w:left="849"/>
    </w:pPr>
  </w:style>
  <w:style w:type="paragraph" w:styleId="TOC5">
    <w:name w:val="toc 5"/>
    <w:basedOn w:val="Index"/>
    <w:pPr>
      <w:tabs>
        <w:tab w:val="right" w:leader="dot" w:pos="8840"/>
      </w:tabs>
      <w:ind w:left="1132"/>
    </w:pPr>
  </w:style>
  <w:style w:type="paragraph" w:styleId="TOC6">
    <w:name w:val="toc 6"/>
    <w:basedOn w:val="Index"/>
    <w:pPr>
      <w:tabs>
        <w:tab w:val="right" w:leader="dot" w:pos="8557"/>
      </w:tabs>
      <w:ind w:left="1415"/>
    </w:pPr>
  </w:style>
  <w:style w:type="paragraph" w:styleId="TOC7">
    <w:name w:val="toc 7"/>
    <w:basedOn w:val="Index"/>
    <w:pPr>
      <w:tabs>
        <w:tab w:val="right" w:leader="dot" w:pos="8274"/>
      </w:tabs>
      <w:ind w:left="1698"/>
    </w:pPr>
  </w:style>
  <w:style w:type="paragraph" w:styleId="TOC8">
    <w:name w:val="toc 8"/>
    <w:basedOn w:val="Index"/>
    <w:pPr>
      <w:tabs>
        <w:tab w:val="right" w:leader="dot" w:pos="7991"/>
      </w:tabs>
      <w:ind w:left="1981"/>
    </w:pPr>
  </w:style>
  <w:style w:type="paragraph" w:styleId="TOC9">
    <w:name w:val="toc 9"/>
    <w:basedOn w:val="Index"/>
    <w:pPr>
      <w:tabs>
        <w:tab w:val="right" w:leader="dot" w:pos="7708"/>
      </w:tabs>
      <w:ind w:left="2264"/>
    </w:pPr>
  </w:style>
  <w:style w:type="paragraph" w:customStyle="1" w:styleId="Contents10">
    <w:name w:val="Contents 10"/>
    <w:basedOn w:val="Index"/>
    <w:qFormat/>
    <w:pPr>
      <w:tabs>
        <w:tab w:val="right" w:leader="dot" w:pos="7425"/>
      </w:tabs>
      <w:ind w:left="2547"/>
    </w:pPr>
  </w:style>
  <w:style w:type="paragraph" w:styleId="BodyTextFirstIndent">
    <w:name w:val="Body Text First Indent"/>
    <w:basedOn w:val="BodyText"/>
    <w:pPr>
      <w:ind w:firstLine="283"/>
    </w:pPr>
  </w:style>
  <w:style w:type="paragraph" w:customStyle="1" w:styleId="Text">
    <w:name w:val="Text"/>
    <w:basedOn w:val="Caption"/>
    <w:qFormat/>
  </w:style>
  <w:style w:type="numbering" w:customStyle="1" w:styleId="WW8Num1">
    <w:name w:val="WW8Num1"/>
    <w:qFormat/>
  </w:style>
  <w:style w:type="paragraph" w:styleId="ListParagraph">
    <w:name w:val="List Paragraph"/>
    <w:basedOn w:val="Normal"/>
    <w:uiPriority w:val="34"/>
    <w:qFormat/>
    <w:rsid w:val="00FA43BD"/>
    <w:pPr>
      <w:ind w:left="720"/>
      <w:contextualSpacing/>
    </w:pPr>
  </w:style>
  <w:style w:type="paragraph" w:styleId="Bibliography">
    <w:name w:val="Bibliography"/>
    <w:basedOn w:val="Normal"/>
    <w:next w:val="Normal"/>
    <w:uiPriority w:val="37"/>
    <w:unhideWhenUsed/>
    <w:rsid w:val="00FA43BD"/>
    <w:pPr>
      <w:spacing w:after="240"/>
      <w:ind w:left="720" w:hanging="720"/>
    </w:pPr>
  </w:style>
  <w:style w:type="character" w:customStyle="1" w:styleId="Heading3Char">
    <w:name w:val="Heading 3 Char"/>
    <w:basedOn w:val="DefaultParagraphFont"/>
    <w:link w:val="Heading3"/>
    <w:uiPriority w:val="9"/>
    <w:rsid w:val="001F6595"/>
    <w:rPr>
      <w:rFonts w:ascii="Arial" w:eastAsia="Times New Roman" w:hAnsi="Arial" w:cs="Times New Roman"/>
      <w:b/>
      <w:bCs/>
      <w:szCs w:val="20"/>
      <w:lang w:bidi="ar-SA"/>
    </w:rPr>
  </w:style>
  <w:style w:type="paragraph" w:styleId="Revision">
    <w:name w:val="Revision"/>
    <w:hidden/>
    <w:uiPriority w:val="99"/>
    <w:semiHidden/>
    <w:rsid w:val="00A773A6"/>
    <w:pPr>
      <w:suppressAutoHyphens w:val="0"/>
    </w:pPr>
    <w:rPr>
      <w:rFonts w:ascii="Arial" w:eastAsia="Times New Roman" w:hAnsi="Arial" w:cs="Times New Roman"/>
      <w:szCs w:val="20"/>
      <w:lang w:bidi="ar-SA"/>
    </w:rPr>
  </w:style>
  <w:style w:type="character" w:customStyle="1" w:styleId="csl-left-margin">
    <w:name w:val="csl-left-margin"/>
    <w:basedOn w:val="DefaultParagraphFont"/>
    <w:rsid w:val="00FE29F2"/>
  </w:style>
  <w:style w:type="character" w:customStyle="1" w:styleId="csl-right-inline">
    <w:name w:val="csl-right-inline"/>
    <w:basedOn w:val="DefaultParagraphFont"/>
    <w:rsid w:val="00FE29F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2964653">
      <w:bodyDiv w:val="1"/>
      <w:marLeft w:val="0"/>
      <w:marRight w:val="0"/>
      <w:marTop w:val="0"/>
      <w:marBottom w:val="0"/>
      <w:divBdr>
        <w:top w:val="none" w:sz="0" w:space="0" w:color="auto"/>
        <w:left w:val="none" w:sz="0" w:space="0" w:color="auto"/>
        <w:bottom w:val="none" w:sz="0" w:space="0" w:color="auto"/>
        <w:right w:val="none" w:sz="0" w:space="0" w:color="auto"/>
      </w:divBdr>
      <w:divsChild>
        <w:div w:id="393624240">
          <w:marLeft w:val="0"/>
          <w:marRight w:val="0"/>
          <w:marTop w:val="0"/>
          <w:marBottom w:val="0"/>
          <w:divBdr>
            <w:top w:val="none" w:sz="0" w:space="0" w:color="auto"/>
            <w:left w:val="none" w:sz="0" w:space="0" w:color="auto"/>
            <w:bottom w:val="none" w:sz="0" w:space="0" w:color="auto"/>
            <w:right w:val="none" w:sz="0" w:space="0" w:color="auto"/>
          </w:divBdr>
        </w:div>
      </w:divsChild>
    </w:div>
    <w:div w:id="738790701">
      <w:bodyDiv w:val="1"/>
      <w:marLeft w:val="0"/>
      <w:marRight w:val="0"/>
      <w:marTop w:val="0"/>
      <w:marBottom w:val="0"/>
      <w:divBdr>
        <w:top w:val="none" w:sz="0" w:space="0" w:color="auto"/>
        <w:left w:val="none" w:sz="0" w:space="0" w:color="auto"/>
        <w:bottom w:val="none" w:sz="0" w:space="0" w:color="auto"/>
        <w:right w:val="none" w:sz="0" w:space="0" w:color="auto"/>
      </w:divBdr>
      <w:divsChild>
        <w:div w:id="2108380374">
          <w:marLeft w:val="480"/>
          <w:marRight w:val="0"/>
          <w:marTop w:val="0"/>
          <w:marBottom w:val="0"/>
          <w:divBdr>
            <w:top w:val="none" w:sz="0" w:space="0" w:color="auto"/>
            <w:left w:val="none" w:sz="0" w:space="0" w:color="auto"/>
            <w:bottom w:val="none" w:sz="0" w:space="0" w:color="auto"/>
            <w:right w:val="none" w:sz="0" w:space="0" w:color="auto"/>
          </w:divBdr>
          <w:divsChild>
            <w:div w:id="17004711">
              <w:marLeft w:val="0"/>
              <w:marRight w:val="0"/>
              <w:marTop w:val="0"/>
              <w:marBottom w:val="0"/>
              <w:divBdr>
                <w:top w:val="none" w:sz="0" w:space="0" w:color="auto"/>
                <w:left w:val="none" w:sz="0" w:space="0" w:color="auto"/>
                <w:bottom w:val="none" w:sz="0" w:space="0" w:color="auto"/>
                <w:right w:val="none" w:sz="0" w:space="0" w:color="auto"/>
              </w:divBdr>
            </w:div>
            <w:div w:id="140580325">
              <w:marLeft w:val="0"/>
              <w:marRight w:val="0"/>
              <w:marTop w:val="0"/>
              <w:marBottom w:val="0"/>
              <w:divBdr>
                <w:top w:val="none" w:sz="0" w:space="0" w:color="auto"/>
                <w:left w:val="none" w:sz="0" w:space="0" w:color="auto"/>
                <w:bottom w:val="none" w:sz="0" w:space="0" w:color="auto"/>
                <w:right w:val="none" w:sz="0" w:space="0" w:color="auto"/>
              </w:divBdr>
            </w:div>
            <w:div w:id="197276518">
              <w:marLeft w:val="0"/>
              <w:marRight w:val="0"/>
              <w:marTop w:val="0"/>
              <w:marBottom w:val="0"/>
              <w:divBdr>
                <w:top w:val="none" w:sz="0" w:space="0" w:color="auto"/>
                <w:left w:val="none" w:sz="0" w:space="0" w:color="auto"/>
                <w:bottom w:val="none" w:sz="0" w:space="0" w:color="auto"/>
                <w:right w:val="none" w:sz="0" w:space="0" w:color="auto"/>
              </w:divBdr>
            </w:div>
            <w:div w:id="325862928">
              <w:marLeft w:val="0"/>
              <w:marRight w:val="0"/>
              <w:marTop w:val="0"/>
              <w:marBottom w:val="0"/>
              <w:divBdr>
                <w:top w:val="none" w:sz="0" w:space="0" w:color="auto"/>
                <w:left w:val="none" w:sz="0" w:space="0" w:color="auto"/>
                <w:bottom w:val="none" w:sz="0" w:space="0" w:color="auto"/>
                <w:right w:val="none" w:sz="0" w:space="0" w:color="auto"/>
              </w:divBdr>
            </w:div>
            <w:div w:id="436485000">
              <w:marLeft w:val="0"/>
              <w:marRight w:val="0"/>
              <w:marTop w:val="0"/>
              <w:marBottom w:val="0"/>
              <w:divBdr>
                <w:top w:val="none" w:sz="0" w:space="0" w:color="auto"/>
                <w:left w:val="none" w:sz="0" w:space="0" w:color="auto"/>
                <w:bottom w:val="none" w:sz="0" w:space="0" w:color="auto"/>
                <w:right w:val="none" w:sz="0" w:space="0" w:color="auto"/>
              </w:divBdr>
            </w:div>
            <w:div w:id="534540363">
              <w:marLeft w:val="0"/>
              <w:marRight w:val="0"/>
              <w:marTop w:val="0"/>
              <w:marBottom w:val="0"/>
              <w:divBdr>
                <w:top w:val="none" w:sz="0" w:space="0" w:color="auto"/>
                <w:left w:val="none" w:sz="0" w:space="0" w:color="auto"/>
                <w:bottom w:val="none" w:sz="0" w:space="0" w:color="auto"/>
                <w:right w:val="none" w:sz="0" w:space="0" w:color="auto"/>
              </w:divBdr>
            </w:div>
            <w:div w:id="545719218">
              <w:marLeft w:val="0"/>
              <w:marRight w:val="0"/>
              <w:marTop w:val="0"/>
              <w:marBottom w:val="0"/>
              <w:divBdr>
                <w:top w:val="none" w:sz="0" w:space="0" w:color="auto"/>
                <w:left w:val="none" w:sz="0" w:space="0" w:color="auto"/>
                <w:bottom w:val="none" w:sz="0" w:space="0" w:color="auto"/>
                <w:right w:val="none" w:sz="0" w:space="0" w:color="auto"/>
              </w:divBdr>
            </w:div>
            <w:div w:id="559441328">
              <w:marLeft w:val="0"/>
              <w:marRight w:val="0"/>
              <w:marTop w:val="0"/>
              <w:marBottom w:val="0"/>
              <w:divBdr>
                <w:top w:val="none" w:sz="0" w:space="0" w:color="auto"/>
                <w:left w:val="none" w:sz="0" w:space="0" w:color="auto"/>
                <w:bottom w:val="none" w:sz="0" w:space="0" w:color="auto"/>
                <w:right w:val="none" w:sz="0" w:space="0" w:color="auto"/>
              </w:divBdr>
            </w:div>
            <w:div w:id="602035660">
              <w:marLeft w:val="0"/>
              <w:marRight w:val="0"/>
              <w:marTop w:val="0"/>
              <w:marBottom w:val="0"/>
              <w:divBdr>
                <w:top w:val="none" w:sz="0" w:space="0" w:color="auto"/>
                <w:left w:val="none" w:sz="0" w:space="0" w:color="auto"/>
                <w:bottom w:val="none" w:sz="0" w:space="0" w:color="auto"/>
                <w:right w:val="none" w:sz="0" w:space="0" w:color="auto"/>
              </w:divBdr>
            </w:div>
            <w:div w:id="613711799">
              <w:marLeft w:val="0"/>
              <w:marRight w:val="0"/>
              <w:marTop w:val="0"/>
              <w:marBottom w:val="0"/>
              <w:divBdr>
                <w:top w:val="none" w:sz="0" w:space="0" w:color="auto"/>
                <w:left w:val="none" w:sz="0" w:space="0" w:color="auto"/>
                <w:bottom w:val="none" w:sz="0" w:space="0" w:color="auto"/>
                <w:right w:val="none" w:sz="0" w:space="0" w:color="auto"/>
              </w:divBdr>
            </w:div>
            <w:div w:id="620959582">
              <w:marLeft w:val="0"/>
              <w:marRight w:val="0"/>
              <w:marTop w:val="0"/>
              <w:marBottom w:val="0"/>
              <w:divBdr>
                <w:top w:val="none" w:sz="0" w:space="0" w:color="auto"/>
                <w:left w:val="none" w:sz="0" w:space="0" w:color="auto"/>
                <w:bottom w:val="none" w:sz="0" w:space="0" w:color="auto"/>
                <w:right w:val="none" w:sz="0" w:space="0" w:color="auto"/>
              </w:divBdr>
            </w:div>
            <w:div w:id="621150994">
              <w:marLeft w:val="0"/>
              <w:marRight w:val="0"/>
              <w:marTop w:val="0"/>
              <w:marBottom w:val="0"/>
              <w:divBdr>
                <w:top w:val="none" w:sz="0" w:space="0" w:color="auto"/>
                <w:left w:val="none" w:sz="0" w:space="0" w:color="auto"/>
                <w:bottom w:val="none" w:sz="0" w:space="0" w:color="auto"/>
                <w:right w:val="none" w:sz="0" w:space="0" w:color="auto"/>
              </w:divBdr>
            </w:div>
            <w:div w:id="777145091">
              <w:marLeft w:val="0"/>
              <w:marRight w:val="0"/>
              <w:marTop w:val="0"/>
              <w:marBottom w:val="0"/>
              <w:divBdr>
                <w:top w:val="none" w:sz="0" w:space="0" w:color="auto"/>
                <w:left w:val="none" w:sz="0" w:space="0" w:color="auto"/>
                <w:bottom w:val="none" w:sz="0" w:space="0" w:color="auto"/>
                <w:right w:val="none" w:sz="0" w:space="0" w:color="auto"/>
              </w:divBdr>
            </w:div>
            <w:div w:id="828668563">
              <w:marLeft w:val="0"/>
              <w:marRight w:val="0"/>
              <w:marTop w:val="0"/>
              <w:marBottom w:val="0"/>
              <w:divBdr>
                <w:top w:val="none" w:sz="0" w:space="0" w:color="auto"/>
                <w:left w:val="none" w:sz="0" w:space="0" w:color="auto"/>
                <w:bottom w:val="none" w:sz="0" w:space="0" w:color="auto"/>
                <w:right w:val="none" w:sz="0" w:space="0" w:color="auto"/>
              </w:divBdr>
            </w:div>
            <w:div w:id="938869871">
              <w:marLeft w:val="0"/>
              <w:marRight w:val="0"/>
              <w:marTop w:val="0"/>
              <w:marBottom w:val="0"/>
              <w:divBdr>
                <w:top w:val="none" w:sz="0" w:space="0" w:color="auto"/>
                <w:left w:val="none" w:sz="0" w:space="0" w:color="auto"/>
                <w:bottom w:val="none" w:sz="0" w:space="0" w:color="auto"/>
                <w:right w:val="none" w:sz="0" w:space="0" w:color="auto"/>
              </w:divBdr>
            </w:div>
            <w:div w:id="1028796996">
              <w:marLeft w:val="0"/>
              <w:marRight w:val="0"/>
              <w:marTop w:val="0"/>
              <w:marBottom w:val="0"/>
              <w:divBdr>
                <w:top w:val="none" w:sz="0" w:space="0" w:color="auto"/>
                <w:left w:val="none" w:sz="0" w:space="0" w:color="auto"/>
                <w:bottom w:val="none" w:sz="0" w:space="0" w:color="auto"/>
                <w:right w:val="none" w:sz="0" w:space="0" w:color="auto"/>
              </w:divBdr>
            </w:div>
            <w:div w:id="1109936818">
              <w:marLeft w:val="0"/>
              <w:marRight w:val="0"/>
              <w:marTop w:val="0"/>
              <w:marBottom w:val="0"/>
              <w:divBdr>
                <w:top w:val="none" w:sz="0" w:space="0" w:color="auto"/>
                <w:left w:val="none" w:sz="0" w:space="0" w:color="auto"/>
                <w:bottom w:val="none" w:sz="0" w:space="0" w:color="auto"/>
                <w:right w:val="none" w:sz="0" w:space="0" w:color="auto"/>
              </w:divBdr>
            </w:div>
            <w:div w:id="1148977725">
              <w:marLeft w:val="0"/>
              <w:marRight w:val="0"/>
              <w:marTop w:val="0"/>
              <w:marBottom w:val="0"/>
              <w:divBdr>
                <w:top w:val="none" w:sz="0" w:space="0" w:color="auto"/>
                <w:left w:val="none" w:sz="0" w:space="0" w:color="auto"/>
                <w:bottom w:val="none" w:sz="0" w:space="0" w:color="auto"/>
                <w:right w:val="none" w:sz="0" w:space="0" w:color="auto"/>
              </w:divBdr>
            </w:div>
            <w:div w:id="1208564505">
              <w:marLeft w:val="0"/>
              <w:marRight w:val="0"/>
              <w:marTop w:val="0"/>
              <w:marBottom w:val="0"/>
              <w:divBdr>
                <w:top w:val="none" w:sz="0" w:space="0" w:color="auto"/>
                <w:left w:val="none" w:sz="0" w:space="0" w:color="auto"/>
                <w:bottom w:val="none" w:sz="0" w:space="0" w:color="auto"/>
                <w:right w:val="none" w:sz="0" w:space="0" w:color="auto"/>
              </w:divBdr>
            </w:div>
            <w:div w:id="1228879565">
              <w:marLeft w:val="0"/>
              <w:marRight w:val="0"/>
              <w:marTop w:val="0"/>
              <w:marBottom w:val="0"/>
              <w:divBdr>
                <w:top w:val="none" w:sz="0" w:space="0" w:color="auto"/>
                <w:left w:val="none" w:sz="0" w:space="0" w:color="auto"/>
                <w:bottom w:val="none" w:sz="0" w:space="0" w:color="auto"/>
                <w:right w:val="none" w:sz="0" w:space="0" w:color="auto"/>
              </w:divBdr>
            </w:div>
            <w:div w:id="1273174717">
              <w:marLeft w:val="0"/>
              <w:marRight w:val="0"/>
              <w:marTop w:val="0"/>
              <w:marBottom w:val="0"/>
              <w:divBdr>
                <w:top w:val="none" w:sz="0" w:space="0" w:color="auto"/>
                <w:left w:val="none" w:sz="0" w:space="0" w:color="auto"/>
                <w:bottom w:val="none" w:sz="0" w:space="0" w:color="auto"/>
                <w:right w:val="none" w:sz="0" w:space="0" w:color="auto"/>
              </w:divBdr>
            </w:div>
            <w:div w:id="1287084877">
              <w:marLeft w:val="0"/>
              <w:marRight w:val="0"/>
              <w:marTop w:val="0"/>
              <w:marBottom w:val="0"/>
              <w:divBdr>
                <w:top w:val="none" w:sz="0" w:space="0" w:color="auto"/>
                <w:left w:val="none" w:sz="0" w:space="0" w:color="auto"/>
                <w:bottom w:val="none" w:sz="0" w:space="0" w:color="auto"/>
                <w:right w:val="none" w:sz="0" w:space="0" w:color="auto"/>
              </w:divBdr>
            </w:div>
            <w:div w:id="1358311293">
              <w:marLeft w:val="0"/>
              <w:marRight w:val="0"/>
              <w:marTop w:val="0"/>
              <w:marBottom w:val="0"/>
              <w:divBdr>
                <w:top w:val="none" w:sz="0" w:space="0" w:color="auto"/>
                <w:left w:val="none" w:sz="0" w:space="0" w:color="auto"/>
                <w:bottom w:val="none" w:sz="0" w:space="0" w:color="auto"/>
                <w:right w:val="none" w:sz="0" w:space="0" w:color="auto"/>
              </w:divBdr>
            </w:div>
            <w:div w:id="1448043558">
              <w:marLeft w:val="0"/>
              <w:marRight w:val="0"/>
              <w:marTop w:val="0"/>
              <w:marBottom w:val="0"/>
              <w:divBdr>
                <w:top w:val="none" w:sz="0" w:space="0" w:color="auto"/>
                <w:left w:val="none" w:sz="0" w:space="0" w:color="auto"/>
                <w:bottom w:val="none" w:sz="0" w:space="0" w:color="auto"/>
                <w:right w:val="none" w:sz="0" w:space="0" w:color="auto"/>
              </w:divBdr>
            </w:div>
            <w:div w:id="1496653444">
              <w:marLeft w:val="0"/>
              <w:marRight w:val="0"/>
              <w:marTop w:val="0"/>
              <w:marBottom w:val="0"/>
              <w:divBdr>
                <w:top w:val="none" w:sz="0" w:space="0" w:color="auto"/>
                <w:left w:val="none" w:sz="0" w:space="0" w:color="auto"/>
                <w:bottom w:val="none" w:sz="0" w:space="0" w:color="auto"/>
                <w:right w:val="none" w:sz="0" w:space="0" w:color="auto"/>
              </w:divBdr>
            </w:div>
            <w:div w:id="1556040924">
              <w:marLeft w:val="0"/>
              <w:marRight w:val="0"/>
              <w:marTop w:val="0"/>
              <w:marBottom w:val="0"/>
              <w:divBdr>
                <w:top w:val="none" w:sz="0" w:space="0" w:color="auto"/>
                <w:left w:val="none" w:sz="0" w:space="0" w:color="auto"/>
                <w:bottom w:val="none" w:sz="0" w:space="0" w:color="auto"/>
                <w:right w:val="none" w:sz="0" w:space="0" w:color="auto"/>
              </w:divBdr>
            </w:div>
            <w:div w:id="1591741638">
              <w:marLeft w:val="0"/>
              <w:marRight w:val="0"/>
              <w:marTop w:val="0"/>
              <w:marBottom w:val="0"/>
              <w:divBdr>
                <w:top w:val="none" w:sz="0" w:space="0" w:color="auto"/>
                <w:left w:val="none" w:sz="0" w:space="0" w:color="auto"/>
                <w:bottom w:val="none" w:sz="0" w:space="0" w:color="auto"/>
                <w:right w:val="none" w:sz="0" w:space="0" w:color="auto"/>
              </w:divBdr>
            </w:div>
            <w:div w:id="1614171621">
              <w:marLeft w:val="0"/>
              <w:marRight w:val="0"/>
              <w:marTop w:val="0"/>
              <w:marBottom w:val="0"/>
              <w:divBdr>
                <w:top w:val="none" w:sz="0" w:space="0" w:color="auto"/>
                <w:left w:val="none" w:sz="0" w:space="0" w:color="auto"/>
                <w:bottom w:val="none" w:sz="0" w:space="0" w:color="auto"/>
                <w:right w:val="none" w:sz="0" w:space="0" w:color="auto"/>
              </w:divBdr>
            </w:div>
            <w:div w:id="1643121432">
              <w:marLeft w:val="0"/>
              <w:marRight w:val="0"/>
              <w:marTop w:val="0"/>
              <w:marBottom w:val="0"/>
              <w:divBdr>
                <w:top w:val="none" w:sz="0" w:space="0" w:color="auto"/>
                <w:left w:val="none" w:sz="0" w:space="0" w:color="auto"/>
                <w:bottom w:val="none" w:sz="0" w:space="0" w:color="auto"/>
                <w:right w:val="none" w:sz="0" w:space="0" w:color="auto"/>
              </w:divBdr>
            </w:div>
            <w:div w:id="1662274985">
              <w:marLeft w:val="0"/>
              <w:marRight w:val="0"/>
              <w:marTop w:val="0"/>
              <w:marBottom w:val="0"/>
              <w:divBdr>
                <w:top w:val="none" w:sz="0" w:space="0" w:color="auto"/>
                <w:left w:val="none" w:sz="0" w:space="0" w:color="auto"/>
                <w:bottom w:val="none" w:sz="0" w:space="0" w:color="auto"/>
                <w:right w:val="none" w:sz="0" w:space="0" w:color="auto"/>
              </w:divBdr>
            </w:div>
            <w:div w:id="1685472489">
              <w:marLeft w:val="0"/>
              <w:marRight w:val="0"/>
              <w:marTop w:val="0"/>
              <w:marBottom w:val="0"/>
              <w:divBdr>
                <w:top w:val="none" w:sz="0" w:space="0" w:color="auto"/>
                <w:left w:val="none" w:sz="0" w:space="0" w:color="auto"/>
                <w:bottom w:val="none" w:sz="0" w:space="0" w:color="auto"/>
                <w:right w:val="none" w:sz="0" w:space="0" w:color="auto"/>
              </w:divBdr>
            </w:div>
            <w:div w:id="1743865386">
              <w:marLeft w:val="0"/>
              <w:marRight w:val="0"/>
              <w:marTop w:val="0"/>
              <w:marBottom w:val="0"/>
              <w:divBdr>
                <w:top w:val="none" w:sz="0" w:space="0" w:color="auto"/>
                <w:left w:val="none" w:sz="0" w:space="0" w:color="auto"/>
                <w:bottom w:val="none" w:sz="0" w:space="0" w:color="auto"/>
                <w:right w:val="none" w:sz="0" w:space="0" w:color="auto"/>
              </w:divBdr>
            </w:div>
            <w:div w:id="1875263516">
              <w:marLeft w:val="0"/>
              <w:marRight w:val="0"/>
              <w:marTop w:val="0"/>
              <w:marBottom w:val="0"/>
              <w:divBdr>
                <w:top w:val="none" w:sz="0" w:space="0" w:color="auto"/>
                <w:left w:val="none" w:sz="0" w:space="0" w:color="auto"/>
                <w:bottom w:val="none" w:sz="0" w:space="0" w:color="auto"/>
                <w:right w:val="none" w:sz="0" w:space="0" w:color="auto"/>
              </w:divBdr>
            </w:div>
            <w:div w:id="1900243052">
              <w:marLeft w:val="0"/>
              <w:marRight w:val="0"/>
              <w:marTop w:val="0"/>
              <w:marBottom w:val="0"/>
              <w:divBdr>
                <w:top w:val="none" w:sz="0" w:space="0" w:color="auto"/>
                <w:left w:val="none" w:sz="0" w:space="0" w:color="auto"/>
                <w:bottom w:val="none" w:sz="0" w:space="0" w:color="auto"/>
                <w:right w:val="none" w:sz="0" w:space="0" w:color="auto"/>
              </w:divBdr>
            </w:div>
            <w:div w:id="1955400570">
              <w:marLeft w:val="0"/>
              <w:marRight w:val="0"/>
              <w:marTop w:val="0"/>
              <w:marBottom w:val="0"/>
              <w:divBdr>
                <w:top w:val="none" w:sz="0" w:space="0" w:color="auto"/>
                <w:left w:val="none" w:sz="0" w:space="0" w:color="auto"/>
                <w:bottom w:val="none" w:sz="0" w:space="0" w:color="auto"/>
                <w:right w:val="none" w:sz="0" w:space="0" w:color="auto"/>
              </w:divBdr>
            </w:div>
            <w:div w:id="2037998379">
              <w:marLeft w:val="0"/>
              <w:marRight w:val="0"/>
              <w:marTop w:val="0"/>
              <w:marBottom w:val="0"/>
              <w:divBdr>
                <w:top w:val="none" w:sz="0" w:space="0" w:color="auto"/>
                <w:left w:val="none" w:sz="0" w:space="0" w:color="auto"/>
                <w:bottom w:val="none" w:sz="0" w:space="0" w:color="auto"/>
                <w:right w:val="none" w:sz="0" w:space="0" w:color="auto"/>
              </w:divBdr>
            </w:div>
            <w:div w:id="2101177976">
              <w:marLeft w:val="0"/>
              <w:marRight w:val="0"/>
              <w:marTop w:val="0"/>
              <w:marBottom w:val="0"/>
              <w:divBdr>
                <w:top w:val="none" w:sz="0" w:space="0" w:color="auto"/>
                <w:left w:val="none" w:sz="0" w:space="0" w:color="auto"/>
                <w:bottom w:val="none" w:sz="0" w:space="0" w:color="auto"/>
                <w:right w:val="none" w:sz="0" w:space="0" w:color="auto"/>
              </w:divBdr>
            </w:div>
            <w:div w:id="213968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1334443">
      <w:bodyDiv w:val="1"/>
      <w:marLeft w:val="0"/>
      <w:marRight w:val="0"/>
      <w:marTop w:val="0"/>
      <w:marBottom w:val="0"/>
      <w:divBdr>
        <w:top w:val="none" w:sz="0" w:space="0" w:color="auto"/>
        <w:left w:val="none" w:sz="0" w:space="0" w:color="auto"/>
        <w:bottom w:val="none" w:sz="0" w:space="0" w:color="auto"/>
        <w:right w:val="none" w:sz="0" w:space="0" w:color="auto"/>
      </w:divBdr>
      <w:divsChild>
        <w:div w:id="1751393101">
          <w:marLeft w:val="480"/>
          <w:marRight w:val="0"/>
          <w:marTop w:val="0"/>
          <w:marBottom w:val="0"/>
          <w:divBdr>
            <w:top w:val="none" w:sz="0" w:space="0" w:color="auto"/>
            <w:left w:val="none" w:sz="0" w:space="0" w:color="auto"/>
            <w:bottom w:val="none" w:sz="0" w:space="0" w:color="auto"/>
            <w:right w:val="none" w:sz="0" w:space="0" w:color="auto"/>
          </w:divBdr>
          <w:divsChild>
            <w:div w:id="18236910">
              <w:marLeft w:val="0"/>
              <w:marRight w:val="0"/>
              <w:marTop w:val="0"/>
              <w:marBottom w:val="0"/>
              <w:divBdr>
                <w:top w:val="none" w:sz="0" w:space="0" w:color="auto"/>
                <w:left w:val="none" w:sz="0" w:space="0" w:color="auto"/>
                <w:bottom w:val="none" w:sz="0" w:space="0" w:color="auto"/>
                <w:right w:val="none" w:sz="0" w:space="0" w:color="auto"/>
              </w:divBdr>
            </w:div>
            <w:div w:id="32006496">
              <w:marLeft w:val="0"/>
              <w:marRight w:val="0"/>
              <w:marTop w:val="0"/>
              <w:marBottom w:val="0"/>
              <w:divBdr>
                <w:top w:val="none" w:sz="0" w:space="0" w:color="auto"/>
                <w:left w:val="none" w:sz="0" w:space="0" w:color="auto"/>
                <w:bottom w:val="none" w:sz="0" w:space="0" w:color="auto"/>
                <w:right w:val="none" w:sz="0" w:space="0" w:color="auto"/>
              </w:divBdr>
            </w:div>
            <w:div w:id="193664697">
              <w:marLeft w:val="0"/>
              <w:marRight w:val="0"/>
              <w:marTop w:val="0"/>
              <w:marBottom w:val="0"/>
              <w:divBdr>
                <w:top w:val="none" w:sz="0" w:space="0" w:color="auto"/>
                <w:left w:val="none" w:sz="0" w:space="0" w:color="auto"/>
                <w:bottom w:val="none" w:sz="0" w:space="0" w:color="auto"/>
                <w:right w:val="none" w:sz="0" w:space="0" w:color="auto"/>
              </w:divBdr>
            </w:div>
            <w:div w:id="288703668">
              <w:marLeft w:val="0"/>
              <w:marRight w:val="0"/>
              <w:marTop w:val="0"/>
              <w:marBottom w:val="0"/>
              <w:divBdr>
                <w:top w:val="none" w:sz="0" w:space="0" w:color="auto"/>
                <w:left w:val="none" w:sz="0" w:space="0" w:color="auto"/>
                <w:bottom w:val="none" w:sz="0" w:space="0" w:color="auto"/>
                <w:right w:val="none" w:sz="0" w:space="0" w:color="auto"/>
              </w:divBdr>
            </w:div>
            <w:div w:id="298996110">
              <w:marLeft w:val="0"/>
              <w:marRight w:val="0"/>
              <w:marTop w:val="0"/>
              <w:marBottom w:val="0"/>
              <w:divBdr>
                <w:top w:val="none" w:sz="0" w:space="0" w:color="auto"/>
                <w:left w:val="none" w:sz="0" w:space="0" w:color="auto"/>
                <w:bottom w:val="none" w:sz="0" w:space="0" w:color="auto"/>
                <w:right w:val="none" w:sz="0" w:space="0" w:color="auto"/>
              </w:divBdr>
            </w:div>
            <w:div w:id="362022984">
              <w:marLeft w:val="0"/>
              <w:marRight w:val="0"/>
              <w:marTop w:val="0"/>
              <w:marBottom w:val="0"/>
              <w:divBdr>
                <w:top w:val="none" w:sz="0" w:space="0" w:color="auto"/>
                <w:left w:val="none" w:sz="0" w:space="0" w:color="auto"/>
                <w:bottom w:val="none" w:sz="0" w:space="0" w:color="auto"/>
                <w:right w:val="none" w:sz="0" w:space="0" w:color="auto"/>
              </w:divBdr>
            </w:div>
            <w:div w:id="463088472">
              <w:marLeft w:val="0"/>
              <w:marRight w:val="0"/>
              <w:marTop w:val="0"/>
              <w:marBottom w:val="0"/>
              <w:divBdr>
                <w:top w:val="none" w:sz="0" w:space="0" w:color="auto"/>
                <w:left w:val="none" w:sz="0" w:space="0" w:color="auto"/>
                <w:bottom w:val="none" w:sz="0" w:space="0" w:color="auto"/>
                <w:right w:val="none" w:sz="0" w:space="0" w:color="auto"/>
              </w:divBdr>
            </w:div>
            <w:div w:id="539437707">
              <w:marLeft w:val="0"/>
              <w:marRight w:val="0"/>
              <w:marTop w:val="0"/>
              <w:marBottom w:val="0"/>
              <w:divBdr>
                <w:top w:val="none" w:sz="0" w:space="0" w:color="auto"/>
                <w:left w:val="none" w:sz="0" w:space="0" w:color="auto"/>
                <w:bottom w:val="none" w:sz="0" w:space="0" w:color="auto"/>
                <w:right w:val="none" w:sz="0" w:space="0" w:color="auto"/>
              </w:divBdr>
            </w:div>
            <w:div w:id="799415561">
              <w:marLeft w:val="0"/>
              <w:marRight w:val="0"/>
              <w:marTop w:val="0"/>
              <w:marBottom w:val="0"/>
              <w:divBdr>
                <w:top w:val="none" w:sz="0" w:space="0" w:color="auto"/>
                <w:left w:val="none" w:sz="0" w:space="0" w:color="auto"/>
                <w:bottom w:val="none" w:sz="0" w:space="0" w:color="auto"/>
                <w:right w:val="none" w:sz="0" w:space="0" w:color="auto"/>
              </w:divBdr>
            </w:div>
            <w:div w:id="878200298">
              <w:marLeft w:val="0"/>
              <w:marRight w:val="0"/>
              <w:marTop w:val="0"/>
              <w:marBottom w:val="0"/>
              <w:divBdr>
                <w:top w:val="none" w:sz="0" w:space="0" w:color="auto"/>
                <w:left w:val="none" w:sz="0" w:space="0" w:color="auto"/>
                <w:bottom w:val="none" w:sz="0" w:space="0" w:color="auto"/>
                <w:right w:val="none" w:sz="0" w:space="0" w:color="auto"/>
              </w:divBdr>
            </w:div>
            <w:div w:id="893009497">
              <w:marLeft w:val="0"/>
              <w:marRight w:val="0"/>
              <w:marTop w:val="0"/>
              <w:marBottom w:val="0"/>
              <w:divBdr>
                <w:top w:val="none" w:sz="0" w:space="0" w:color="auto"/>
                <w:left w:val="none" w:sz="0" w:space="0" w:color="auto"/>
                <w:bottom w:val="none" w:sz="0" w:space="0" w:color="auto"/>
                <w:right w:val="none" w:sz="0" w:space="0" w:color="auto"/>
              </w:divBdr>
            </w:div>
            <w:div w:id="959723994">
              <w:marLeft w:val="0"/>
              <w:marRight w:val="0"/>
              <w:marTop w:val="0"/>
              <w:marBottom w:val="0"/>
              <w:divBdr>
                <w:top w:val="none" w:sz="0" w:space="0" w:color="auto"/>
                <w:left w:val="none" w:sz="0" w:space="0" w:color="auto"/>
                <w:bottom w:val="none" w:sz="0" w:space="0" w:color="auto"/>
                <w:right w:val="none" w:sz="0" w:space="0" w:color="auto"/>
              </w:divBdr>
            </w:div>
            <w:div w:id="1010570910">
              <w:marLeft w:val="0"/>
              <w:marRight w:val="0"/>
              <w:marTop w:val="0"/>
              <w:marBottom w:val="0"/>
              <w:divBdr>
                <w:top w:val="none" w:sz="0" w:space="0" w:color="auto"/>
                <w:left w:val="none" w:sz="0" w:space="0" w:color="auto"/>
                <w:bottom w:val="none" w:sz="0" w:space="0" w:color="auto"/>
                <w:right w:val="none" w:sz="0" w:space="0" w:color="auto"/>
              </w:divBdr>
            </w:div>
            <w:div w:id="1061245399">
              <w:marLeft w:val="0"/>
              <w:marRight w:val="0"/>
              <w:marTop w:val="0"/>
              <w:marBottom w:val="0"/>
              <w:divBdr>
                <w:top w:val="none" w:sz="0" w:space="0" w:color="auto"/>
                <w:left w:val="none" w:sz="0" w:space="0" w:color="auto"/>
                <w:bottom w:val="none" w:sz="0" w:space="0" w:color="auto"/>
                <w:right w:val="none" w:sz="0" w:space="0" w:color="auto"/>
              </w:divBdr>
            </w:div>
            <w:div w:id="1177690817">
              <w:marLeft w:val="0"/>
              <w:marRight w:val="0"/>
              <w:marTop w:val="0"/>
              <w:marBottom w:val="0"/>
              <w:divBdr>
                <w:top w:val="none" w:sz="0" w:space="0" w:color="auto"/>
                <w:left w:val="none" w:sz="0" w:space="0" w:color="auto"/>
                <w:bottom w:val="none" w:sz="0" w:space="0" w:color="auto"/>
                <w:right w:val="none" w:sz="0" w:space="0" w:color="auto"/>
              </w:divBdr>
            </w:div>
            <w:div w:id="1179999164">
              <w:marLeft w:val="0"/>
              <w:marRight w:val="0"/>
              <w:marTop w:val="0"/>
              <w:marBottom w:val="0"/>
              <w:divBdr>
                <w:top w:val="none" w:sz="0" w:space="0" w:color="auto"/>
                <w:left w:val="none" w:sz="0" w:space="0" w:color="auto"/>
                <w:bottom w:val="none" w:sz="0" w:space="0" w:color="auto"/>
                <w:right w:val="none" w:sz="0" w:space="0" w:color="auto"/>
              </w:divBdr>
            </w:div>
            <w:div w:id="1250695347">
              <w:marLeft w:val="0"/>
              <w:marRight w:val="0"/>
              <w:marTop w:val="0"/>
              <w:marBottom w:val="0"/>
              <w:divBdr>
                <w:top w:val="none" w:sz="0" w:space="0" w:color="auto"/>
                <w:left w:val="none" w:sz="0" w:space="0" w:color="auto"/>
                <w:bottom w:val="none" w:sz="0" w:space="0" w:color="auto"/>
                <w:right w:val="none" w:sz="0" w:space="0" w:color="auto"/>
              </w:divBdr>
            </w:div>
            <w:div w:id="1253128608">
              <w:marLeft w:val="0"/>
              <w:marRight w:val="0"/>
              <w:marTop w:val="0"/>
              <w:marBottom w:val="0"/>
              <w:divBdr>
                <w:top w:val="none" w:sz="0" w:space="0" w:color="auto"/>
                <w:left w:val="none" w:sz="0" w:space="0" w:color="auto"/>
                <w:bottom w:val="none" w:sz="0" w:space="0" w:color="auto"/>
                <w:right w:val="none" w:sz="0" w:space="0" w:color="auto"/>
              </w:divBdr>
            </w:div>
            <w:div w:id="1268852379">
              <w:marLeft w:val="0"/>
              <w:marRight w:val="0"/>
              <w:marTop w:val="0"/>
              <w:marBottom w:val="0"/>
              <w:divBdr>
                <w:top w:val="none" w:sz="0" w:space="0" w:color="auto"/>
                <w:left w:val="none" w:sz="0" w:space="0" w:color="auto"/>
                <w:bottom w:val="none" w:sz="0" w:space="0" w:color="auto"/>
                <w:right w:val="none" w:sz="0" w:space="0" w:color="auto"/>
              </w:divBdr>
            </w:div>
            <w:div w:id="1294169588">
              <w:marLeft w:val="0"/>
              <w:marRight w:val="0"/>
              <w:marTop w:val="0"/>
              <w:marBottom w:val="0"/>
              <w:divBdr>
                <w:top w:val="none" w:sz="0" w:space="0" w:color="auto"/>
                <w:left w:val="none" w:sz="0" w:space="0" w:color="auto"/>
                <w:bottom w:val="none" w:sz="0" w:space="0" w:color="auto"/>
                <w:right w:val="none" w:sz="0" w:space="0" w:color="auto"/>
              </w:divBdr>
            </w:div>
            <w:div w:id="1314748606">
              <w:marLeft w:val="0"/>
              <w:marRight w:val="0"/>
              <w:marTop w:val="0"/>
              <w:marBottom w:val="0"/>
              <w:divBdr>
                <w:top w:val="none" w:sz="0" w:space="0" w:color="auto"/>
                <w:left w:val="none" w:sz="0" w:space="0" w:color="auto"/>
                <w:bottom w:val="none" w:sz="0" w:space="0" w:color="auto"/>
                <w:right w:val="none" w:sz="0" w:space="0" w:color="auto"/>
              </w:divBdr>
            </w:div>
            <w:div w:id="1330522474">
              <w:marLeft w:val="0"/>
              <w:marRight w:val="0"/>
              <w:marTop w:val="0"/>
              <w:marBottom w:val="0"/>
              <w:divBdr>
                <w:top w:val="none" w:sz="0" w:space="0" w:color="auto"/>
                <w:left w:val="none" w:sz="0" w:space="0" w:color="auto"/>
                <w:bottom w:val="none" w:sz="0" w:space="0" w:color="auto"/>
                <w:right w:val="none" w:sz="0" w:space="0" w:color="auto"/>
              </w:divBdr>
            </w:div>
            <w:div w:id="1353530194">
              <w:marLeft w:val="0"/>
              <w:marRight w:val="0"/>
              <w:marTop w:val="0"/>
              <w:marBottom w:val="0"/>
              <w:divBdr>
                <w:top w:val="none" w:sz="0" w:space="0" w:color="auto"/>
                <w:left w:val="none" w:sz="0" w:space="0" w:color="auto"/>
                <w:bottom w:val="none" w:sz="0" w:space="0" w:color="auto"/>
                <w:right w:val="none" w:sz="0" w:space="0" w:color="auto"/>
              </w:divBdr>
            </w:div>
            <w:div w:id="1383166232">
              <w:marLeft w:val="0"/>
              <w:marRight w:val="0"/>
              <w:marTop w:val="0"/>
              <w:marBottom w:val="0"/>
              <w:divBdr>
                <w:top w:val="none" w:sz="0" w:space="0" w:color="auto"/>
                <w:left w:val="none" w:sz="0" w:space="0" w:color="auto"/>
                <w:bottom w:val="none" w:sz="0" w:space="0" w:color="auto"/>
                <w:right w:val="none" w:sz="0" w:space="0" w:color="auto"/>
              </w:divBdr>
            </w:div>
            <w:div w:id="1453330446">
              <w:marLeft w:val="0"/>
              <w:marRight w:val="0"/>
              <w:marTop w:val="0"/>
              <w:marBottom w:val="0"/>
              <w:divBdr>
                <w:top w:val="none" w:sz="0" w:space="0" w:color="auto"/>
                <w:left w:val="none" w:sz="0" w:space="0" w:color="auto"/>
                <w:bottom w:val="none" w:sz="0" w:space="0" w:color="auto"/>
                <w:right w:val="none" w:sz="0" w:space="0" w:color="auto"/>
              </w:divBdr>
            </w:div>
            <w:div w:id="1469281158">
              <w:marLeft w:val="0"/>
              <w:marRight w:val="0"/>
              <w:marTop w:val="0"/>
              <w:marBottom w:val="0"/>
              <w:divBdr>
                <w:top w:val="none" w:sz="0" w:space="0" w:color="auto"/>
                <w:left w:val="none" w:sz="0" w:space="0" w:color="auto"/>
                <w:bottom w:val="none" w:sz="0" w:space="0" w:color="auto"/>
                <w:right w:val="none" w:sz="0" w:space="0" w:color="auto"/>
              </w:divBdr>
            </w:div>
            <w:div w:id="1497844642">
              <w:marLeft w:val="0"/>
              <w:marRight w:val="0"/>
              <w:marTop w:val="0"/>
              <w:marBottom w:val="0"/>
              <w:divBdr>
                <w:top w:val="none" w:sz="0" w:space="0" w:color="auto"/>
                <w:left w:val="none" w:sz="0" w:space="0" w:color="auto"/>
                <w:bottom w:val="none" w:sz="0" w:space="0" w:color="auto"/>
                <w:right w:val="none" w:sz="0" w:space="0" w:color="auto"/>
              </w:divBdr>
            </w:div>
            <w:div w:id="1504275143">
              <w:marLeft w:val="0"/>
              <w:marRight w:val="0"/>
              <w:marTop w:val="0"/>
              <w:marBottom w:val="0"/>
              <w:divBdr>
                <w:top w:val="none" w:sz="0" w:space="0" w:color="auto"/>
                <w:left w:val="none" w:sz="0" w:space="0" w:color="auto"/>
                <w:bottom w:val="none" w:sz="0" w:space="0" w:color="auto"/>
                <w:right w:val="none" w:sz="0" w:space="0" w:color="auto"/>
              </w:divBdr>
            </w:div>
            <w:div w:id="1516530181">
              <w:marLeft w:val="0"/>
              <w:marRight w:val="0"/>
              <w:marTop w:val="0"/>
              <w:marBottom w:val="0"/>
              <w:divBdr>
                <w:top w:val="none" w:sz="0" w:space="0" w:color="auto"/>
                <w:left w:val="none" w:sz="0" w:space="0" w:color="auto"/>
                <w:bottom w:val="none" w:sz="0" w:space="0" w:color="auto"/>
                <w:right w:val="none" w:sz="0" w:space="0" w:color="auto"/>
              </w:divBdr>
            </w:div>
            <w:div w:id="1576625405">
              <w:marLeft w:val="0"/>
              <w:marRight w:val="0"/>
              <w:marTop w:val="0"/>
              <w:marBottom w:val="0"/>
              <w:divBdr>
                <w:top w:val="none" w:sz="0" w:space="0" w:color="auto"/>
                <w:left w:val="none" w:sz="0" w:space="0" w:color="auto"/>
                <w:bottom w:val="none" w:sz="0" w:space="0" w:color="auto"/>
                <w:right w:val="none" w:sz="0" w:space="0" w:color="auto"/>
              </w:divBdr>
            </w:div>
            <w:div w:id="1637956099">
              <w:marLeft w:val="0"/>
              <w:marRight w:val="0"/>
              <w:marTop w:val="0"/>
              <w:marBottom w:val="0"/>
              <w:divBdr>
                <w:top w:val="none" w:sz="0" w:space="0" w:color="auto"/>
                <w:left w:val="none" w:sz="0" w:space="0" w:color="auto"/>
                <w:bottom w:val="none" w:sz="0" w:space="0" w:color="auto"/>
                <w:right w:val="none" w:sz="0" w:space="0" w:color="auto"/>
              </w:divBdr>
            </w:div>
            <w:div w:id="1758817771">
              <w:marLeft w:val="0"/>
              <w:marRight w:val="0"/>
              <w:marTop w:val="0"/>
              <w:marBottom w:val="0"/>
              <w:divBdr>
                <w:top w:val="none" w:sz="0" w:space="0" w:color="auto"/>
                <w:left w:val="none" w:sz="0" w:space="0" w:color="auto"/>
                <w:bottom w:val="none" w:sz="0" w:space="0" w:color="auto"/>
                <w:right w:val="none" w:sz="0" w:space="0" w:color="auto"/>
              </w:divBdr>
            </w:div>
            <w:div w:id="1764522564">
              <w:marLeft w:val="0"/>
              <w:marRight w:val="0"/>
              <w:marTop w:val="0"/>
              <w:marBottom w:val="0"/>
              <w:divBdr>
                <w:top w:val="none" w:sz="0" w:space="0" w:color="auto"/>
                <w:left w:val="none" w:sz="0" w:space="0" w:color="auto"/>
                <w:bottom w:val="none" w:sz="0" w:space="0" w:color="auto"/>
                <w:right w:val="none" w:sz="0" w:space="0" w:color="auto"/>
              </w:divBdr>
            </w:div>
            <w:div w:id="1858542197">
              <w:marLeft w:val="0"/>
              <w:marRight w:val="0"/>
              <w:marTop w:val="0"/>
              <w:marBottom w:val="0"/>
              <w:divBdr>
                <w:top w:val="none" w:sz="0" w:space="0" w:color="auto"/>
                <w:left w:val="none" w:sz="0" w:space="0" w:color="auto"/>
                <w:bottom w:val="none" w:sz="0" w:space="0" w:color="auto"/>
                <w:right w:val="none" w:sz="0" w:space="0" w:color="auto"/>
              </w:divBdr>
            </w:div>
            <w:div w:id="1942255125">
              <w:marLeft w:val="0"/>
              <w:marRight w:val="0"/>
              <w:marTop w:val="0"/>
              <w:marBottom w:val="0"/>
              <w:divBdr>
                <w:top w:val="none" w:sz="0" w:space="0" w:color="auto"/>
                <w:left w:val="none" w:sz="0" w:space="0" w:color="auto"/>
                <w:bottom w:val="none" w:sz="0" w:space="0" w:color="auto"/>
                <w:right w:val="none" w:sz="0" w:space="0" w:color="auto"/>
              </w:divBdr>
            </w:div>
            <w:div w:id="1951013224">
              <w:marLeft w:val="0"/>
              <w:marRight w:val="0"/>
              <w:marTop w:val="0"/>
              <w:marBottom w:val="0"/>
              <w:divBdr>
                <w:top w:val="none" w:sz="0" w:space="0" w:color="auto"/>
                <w:left w:val="none" w:sz="0" w:space="0" w:color="auto"/>
                <w:bottom w:val="none" w:sz="0" w:space="0" w:color="auto"/>
                <w:right w:val="none" w:sz="0" w:space="0" w:color="auto"/>
              </w:divBdr>
            </w:div>
            <w:div w:id="2028829323">
              <w:marLeft w:val="0"/>
              <w:marRight w:val="0"/>
              <w:marTop w:val="0"/>
              <w:marBottom w:val="0"/>
              <w:divBdr>
                <w:top w:val="none" w:sz="0" w:space="0" w:color="auto"/>
                <w:left w:val="none" w:sz="0" w:space="0" w:color="auto"/>
                <w:bottom w:val="none" w:sz="0" w:space="0" w:color="auto"/>
                <w:right w:val="none" w:sz="0" w:space="0" w:color="auto"/>
              </w:divBdr>
            </w:div>
            <w:div w:id="2058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010151">
      <w:bodyDiv w:val="1"/>
      <w:marLeft w:val="0"/>
      <w:marRight w:val="0"/>
      <w:marTop w:val="0"/>
      <w:marBottom w:val="0"/>
      <w:divBdr>
        <w:top w:val="none" w:sz="0" w:space="0" w:color="auto"/>
        <w:left w:val="none" w:sz="0" w:space="0" w:color="auto"/>
        <w:bottom w:val="none" w:sz="0" w:space="0" w:color="auto"/>
        <w:right w:val="none" w:sz="0" w:space="0" w:color="auto"/>
      </w:divBdr>
      <w:divsChild>
        <w:div w:id="1474719174">
          <w:marLeft w:val="480"/>
          <w:marRight w:val="0"/>
          <w:marTop w:val="0"/>
          <w:marBottom w:val="0"/>
          <w:divBdr>
            <w:top w:val="none" w:sz="0" w:space="0" w:color="auto"/>
            <w:left w:val="none" w:sz="0" w:space="0" w:color="auto"/>
            <w:bottom w:val="none" w:sz="0" w:space="0" w:color="auto"/>
            <w:right w:val="none" w:sz="0" w:space="0" w:color="auto"/>
          </w:divBdr>
          <w:divsChild>
            <w:div w:id="75441492">
              <w:marLeft w:val="0"/>
              <w:marRight w:val="0"/>
              <w:marTop w:val="0"/>
              <w:marBottom w:val="0"/>
              <w:divBdr>
                <w:top w:val="none" w:sz="0" w:space="0" w:color="auto"/>
                <w:left w:val="none" w:sz="0" w:space="0" w:color="auto"/>
                <w:bottom w:val="none" w:sz="0" w:space="0" w:color="auto"/>
                <w:right w:val="none" w:sz="0" w:space="0" w:color="auto"/>
              </w:divBdr>
            </w:div>
            <w:div w:id="86736114">
              <w:marLeft w:val="0"/>
              <w:marRight w:val="0"/>
              <w:marTop w:val="0"/>
              <w:marBottom w:val="0"/>
              <w:divBdr>
                <w:top w:val="none" w:sz="0" w:space="0" w:color="auto"/>
                <w:left w:val="none" w:sz="0" w:space="0" w:color="auto"/>
                <w:bottom w:val="none" w:sz="0" w:space="0" w:color="auto"/>
                <w:right w:val="none" w:sz="0" w:space="0" w:color="auto"/>
              </w:divBdr>
            </w:div>
            <w:div w:id="125323244">
              <w:marLeft w:val="0"/>
              <w:marRight w:val="0"/>
              <w:marTop w:val="0"/>
              <w:marBottom w:val="0"/>
              <w:divBdr>
                <w:top w:val="none" w:sz="0" w:space="0" w:color="auto"/>
                <w:left w:val="none" w:sz="0" w:space="0" w:color="auto"/>
                <w:bottom w:val="none" w:sz="0" w:space="0" w:color="auto"/>
                <w:right w:val="none" w:sz="0" w:space="0" w:color="auto"/>
              </w:divBdr>
            </w:div>
            <w:div w:id="219905116">
              <w:marLeft w:val="0"/>
              <w:marRight w:val="0"/>
              <w:marTop w:val="0"/>
              <w:marBottom w:val="0"/>
              <w:divBdr>
                <w:top w:val="none" w:sz="0" w:space="0" w:color="auto"/>
                <w:left w:val="none" w:sz="0" w:space="0" w:color="auto"/>
                <w:bottom w:val="none" w:sz="0" w:space="0" w:color="auto"/>
                <w:right w:val="none" w:sz="0" w:space="0" w:color="auto"/>
              </w:divBdr>
            </w:div>
            <w:div w:id="232132143">
              <w:marLeft w:val="0"/>
              <w:marRight w:val="0"/>
              <w:marTop w:val="0"/>
              <w:marBottom w:val="0"/>
              <w:divBdr>
                <w:top w:val="none" w:sz="0" w:space="0" w:color="auto"/>
                <w:left w:val="none" w:sz="0" w:space="0" w:color="auto"/>
                <w:bottom w:val="none" w:sz="0" w:space="0" w:color="auto"/>
                <w:right w:val="none" w:sz="0" w:space="0" w:color="auto"/>
              </w:divBdr>
            </w:div>
            <w:div w:id="262032937">
              <w:marLeft w:val="0"/>
              <w:marRight w:val="0"/>
              <w:marTop w:val="0"/>
              <w:marBottom w:val="0"/>
              <w:divBdr>
                <w:top w:val="none" w:sz="0" w:space="0" w:color="auto"/>
                <w:left w:val="none" w:sz="0" w:space="0" w:color="auto"/>
                <w:bottom w:val="none" w:sz="0" w:space="0" w:color="auto"/>
                <w:right w:val="none" w:sz="0" w:space="0" w:color="auto"/>
              </w:divBdr>
            </w:div>
            <w:div w:id="284433038">
              <w:marLeft w:val="0"/>
              <w:marRight w:val="0"/>
              <w:marTop w:val="0"/>
              <w:marBottom w:val="0"/>
              <w:divBdr>
                <w:top w:val="none" w:sz="0" w:space="0" w:color="auto"/>
                <w:left w:val="none" w:sz="0" w:space="0" w:color="auto"/>
                <w:bottom w:val="none" w:sz="0" w:space="0" w:color="auto"/>
                <w:right w:val="none" w:sz="0" w:space="0" w:color="auto"/>
              </w:divBdr>
            </w:div>
            <w:div w:id="288904268">
              <w:marLeft w:val="0"/>
              <w:marRight w:val="0"/>
              <w:marTop w:val="0"/>
              <w:marBottom w:val="0"/>
              <w:divBdr>
                <w:top w:val="none" w:sz="0" w:space="0" w:color="auto"/>
                <w:left w:val="none" w:sz="0" w:space="0" w:color="auto"/>
                <w:bottom w:val="none" w:sz="0" w:space="0" w:color="auto"/>
                <w:right w:val="none" w:sz="0" w:space="0" w:color="auto"/>
              </w:divBdr>
            </w:div>
            <w:div w:id="321197005">
              <w:marLeft w:val="0"/>
              <w:marRight w:val="0"/>
              <w:marTop w:val="0"/>
              <w:marBottom w:val="0"/>
              <w:divBdr>
                <w:top w:val="none" w:sz="0" w:space="0" w:color="auto"/>
                <w:left w:val="none" w:sz="0" w:space="0" w:color="auto"/>
                <w:bottom w:val="none" w:sz="0" w:space="0" w:color="auto"/>
                <w:right w:val="none" w:sz="0" w:space="0" w:color="auto"/>
              </w:divBdr>
            </w:div>
            <w:div w:id="424810944">
              <w:marLeft w:val="0"/>
              <w:marRight w:val="0"/>
              <w:marTop w:val="0"/>
              <w:marBottom w:val="0"/>
              <w:divBdr>
                <w:top w:val="none" w:sz="0" w:space="0" w:color="auto"/>
                <w:left w:val="none" w:sz="0" w:space="0" w:color="auto"/>
                <w:bottom w:val="none" w:sz="0" w:space="0" w:color="auto"/>
                <w:right w:val="none" w:sz="0" w:space="0" w:color="auto"/>
              </w:divBdr>
            </w:div>
            <w:div w:id="451364091">
              <w:marLeft w:val="0"/>
              <w:marRight w:val="0"/>
              <w:marTop w:val="0"/>
              <w:marBottom w:val="0"/>
              <w:divBdr>
                <w:top w:val="none" w:sz="0" w:space="0" w:color="auto"/>
                <w:left w:val="none" w:sz="0" w:space="0" w:color="auto"/>
                <w:bottom w:val="none" w:sz="0" w:space="0" w:color="auto"/>
                <w:right w:val="none" w:sz="0" w:space="0" w:color="auto"/>
              </w:divBdr>
            </w:div>
            <w:div w:id="560529767">
              <w:marLeft w:val="0"/>
              <w:marRight w:val="0"/>
              <w:marTop w:val="0"/>
              <w:marBottom w:val="0"/>
              <w:divBdr>
                <w:top w:val="none" w:sz="0" w:space="0" w:color="auto"/>
                <w:left w:val="none" w:sz="0" w:space="0" w:color="auto"/>
                <w:bottom w:val="none" w:sz="0" w:space="0" w:color="auto"/>
                <w:right w:val="none" w:sz="0" w:space="0" w:color="auto"/>
              </w:divBdr>
            </w:div>
            <w:div w:id="633950238">
              <w:marLeft w:val="0"/>
              <w:marRight w:val="0"/>
              <w:marTop w:val="0"/>
              <w:marBottom w:val="0"/>
              <w:divBdr>
                <w:top w:val="none" w:sz="0" w:space="0" w:color="auto"/>
                <w:left w:val="none" w:sz="0" w:space="0" w:color="auto"/>
                <w:bottom w:val="none" w:sz="0" w:space="0" w:color="auto"/>
                <w:right w:val="none" w:sz="0" w:space="0" w:color="auto"/>
              </w:divBdr>
            </w:div>
            <w:div w:id="650062428">
              <w:marLeft w:val="0"/>
              <w:marRight w:val="0"/>
              <w:marTop w:val="0"/>
              <w:marBottom w:val="0"/>
              <w:divBdr>
                <w:top w:val="none" w:sz="0" w:space="0" w:color="auto"/>
                <w:left w:val="none" w:sz="0" w:space="0" w:color="auto"/>
                <w:bottom w:val="none" w:sz="0" w:space="0" w:color="auto"/>
                <w:right w:val="none" w:sz="0" w:space="0" w:color="auto"/>
              </w:divBdr>
            </w:div>
            <w:div w:id="759761422">
              <w:marLeft w:val="0"/>
              <w:marRight w:val="0"/>
              <w:marTop w:val="0"/>
              <w:marBottom w:val="0"/>
              <w:divBdr>
                <w:top w:val="none" w:sz="0" w:space="0" w:color="auto"/>
                <w:left w:val="none" w:sz="0" w:space="0" w:color="auto"/>
                <w:bottom w:val="none" w:sz="0" w:space="0" w:color="auto"/>
                <w:right w:val="none" w:sz="0" w:space="0" w:color="auto"/>
              </w:divBdr>
            </w:div>
            <w:div w:id="782267287">
              <w:marLeft w:val="0"/>
              <w:marRight w:val="0"/>
              <w:marTop w:val="0"/>
              <w:marBottom w:val="0"/>
              <w:divBdr>
                <w:top w:val="none" w:sz="0" w:space="0" w:color="auto"/>
                <w:left w:val="none" w:sz="0" w:space="0" w:color="auto"/>
                <w:bottom w:val="none" w:sz="0" w:space="0" w:color="auto"/>
                <w:right w:val="none" w:sz="0" w:space="0" w:color="auto"/>
              </w:divBdr>
            </w:div>
            <w:div w:id="786657139">
              <w:marLeft w:val="0"/>
              <w:marRight w:val="0"/>
              <w:marTop w:val="0"/>
              <w:marBottom w:val="0"/>
              <w:divBdr>
                <w:top w:val="none" w:sz="0" w:space="0" w:color="auto"/>
                <w:left w:val="none" w:sz="0" w:space="0" w:color="auto"/>
                <w:bottom w:val="none" w:sz="0" w:space="0" w:color="auto"/>
                <w:right w:val="none" w:sz="0" w:space="0" w:color="auto"/>
              </w:divBdr>
            </w:div>
            <w:div w:id="917861787">
              <w:marLeft w:val="0"/>
              <w:marRight w:val="0"/>
              <w:marTop w:val="0"/>
              <w:marBottom w:val="0"/>
              <w:divBdr>
                <w:top w:val="none" w:sz="0" w:space="0" w:color="auto"/>
                <w:left w:val="none" w:sz="0" w:space="0" w:color="auto"/>
                <w:bottom w:val="none" w:sz="0" w:space="0" w:color="auto"/>
                <w:right w:val="none" w:sz="0" w:space="0" w:color="auto"/>
              </w:divBdr>
            </w:div>
            <w:div w:id="1047952653">
              <w:marLeft w:val="0"/>
              <w:marRight w:val="0"/>
              <w:marTop w:val="0"/>
              <w:marBottom w:val="0"/>
              <w:divBdr>
                <w:top w:val="none" w:sz="0" w:space="0" w:color="auto"/>
                <w:left w:val="none" w:sz="0" w:space="0" w:color="auto"/>
                <w:bottom w:val="none" w:sz="0" w:space="0" w:color="auto"/>
                <w:right w:val="none" w:sz="0" w:space="0" w:color="auto"/>
              </w:divBdr>
            </w:div>
            <w:div w:id="1141657764">
              <w:marLeft w:val="0"/>
              <w:marRight w:val="0"/>
              <w:marTop w:val="0"/>
              <w:marBottom w:val="0"/>
              <w:divBdr>
                <w:top w:val="none" w:sz="0" w:space="0" w:color="auto"/>
                <w:left w:val="none" w:sz="0" w:space="0" w:color="auto"/>
                <w:bottom w:val="none" w:sz="0" w:space="0" w:color="auto"/>
                <w:right w:val="none" w:sz="0" w:space="0" w:color="auto"/>
              </w:divBdr>
            </w:div>
            <w:div w:id="1143739590">
              <w:marLeft w:val="0"/>
              <w:marRight w:val="0"/>
              <w:marTop w:val="0"/>
              <w:marBottom w:val="0"/>
              <w:divBdr>
                <w:top w:val="none" w:sz="0" w:space="0" w:color="auto"/>
                <w:left w:val="none" w:sz="0" w:space="0" w:color="auto"/>
                <w:bottom w:val="none" w:sz="0" w:space="0" w:color="auto"/>
                <w:right w:val="none" w:sz="0" w:space="0" w:color="auto"/>
              </w:divBdr>
            </w:div>
            <w:div w:id="1240284301">
              <w:marLeft w:val="0"/>
              <w:marRight w:val="0"/>
              <w:marTop w:val="0"/>
              <w:marBottom w:val="0"/>
              <w:divBdr>
                <w:top w:val="none" w:sz="0" w:space="0" w:color="auto"/>
                <w:left w:val="none" w:sz="0" w:space="0" w:color="auto"/>
                <w:bottom w:val="none" w:sz="0" w:space="0" w:color="auto"/>
                <w:right w:val="none" w:sz="0" w:space="0" w:color="auto"/>
              </w:divBdr>
            </w:div>
            <w:div w:id="1326669877">
              <w:marLeft w:val="0"/>
              <w:marRight w:val="0"/>
              <w:marTop w:val="0"/>
              <w:marBottom w:val="0"/>
              <w:divBdr>
                <w:top w:val="none" w:sz="0" w:space="0" w:color="auto"/>
                <w:left w:val="none" w:sz="0" w:space="0" w:color="auto"/>
                <w:bottom w:val="none" w:sz="0" w:space="0" w:color="auto"/>
                <w:right w:val="none" w:sz="0" w:space="0" w:color="auto"/>
              </w:divBdr>
            </w:div>
            <w:div w:id="1408767485">
              <w:marLeft w:val="0"/>
              <w:marRight w:val="0"/>
              <w:marTop w:val="0"/>
              <w:marBottom w:val="0"/>
              <w:divBdr>
                <w:top w:val="none" w:sz="0" w:space="0" w:color="auto"/>
                <w:left w:val="none" w:sz="0" w:space="0" w:color="auto"/>
                <w:bottom w:val="none" w:sz="0" w:space="0" w:color="auto"/>
                <w:right w:val="none" w:sz="0" w:space="0" w:color="auto"/>
              </w:divBdr>
            </w:div>
            <w:div w:id="1460297115">
              <w:marLeft w:val="0"/>
              <w:marRight w:val="0"/>
              <w:marTop w:val="0"/>
              <w:marBottom w:val="0"/>
              <w:divBdr>
                <w:top w:val="none" w:sz="0" w:space="0" w:color="auto"/>
                <w:left w:val="none" w:sz="0" w:space="0" w:color="auto"/>
                <w:bottom w:val="none" w:sz="0" w:space="0" w:color="auto"/>
                <w:right w:val="none" w:sz="0" w:space="0" w:color="auto"/>
              </w:divBdr>
            </w:div>
            <w:div w:id="1543514017">
              <w:marLeft w:val="0"/>
              <w:marRight w:val="0"/>
              <w:marTop w:val="0"/>
              <w:marBottom w:val="0"/>
              <w:divBdr>
                <w:top w:val="none" w:sz="0" w:space="0" w:color="auto"/>
                <w:left w:val="none" w:sz="0" w:space="0" w:color="auto"/>
                <w:bottom w:val="none" w:sz="0" w:space="0" w:color="auto"/>
                <w:right w:val="none" w:sz="0" w:space="0" w:color="auto"/>
              </w:divBdr>
            </w:div>
            <w:div w:id="1574244840">
              <w:marLeft w:val="0"/>
              <w:marRight w:val="0"/>
              <w:marTop w:val="0"/>
              <w:marBottom w:val="0"/>
              <w:divBdr>
                <w:top w:val="none" w:sz="0" w:space="0" w:color="auto"/>
                <w:left w:val="none" w:sz="0" w:space="0" w:color="auto"/>
                <w:bottom w:val="none" w:sz="0" w:space="0" w:color="auto"/>
                <w:right w:val="none" w:sz="0" w:space="0" w:color="auto"/>
              </w:divBdr>
            </w:div>
            <w:div w:id="1714576121">
              <w:marLeft w:val="0"/>
              <w:marRight w:val="0"/>
              <w:marTop w:val="0"/>
              <w:marBottom w:val="0"/>
              <w:divBdr>
                <w:top w:val="none" w:sz="0" w:space="0" w:color="auto"/>
                <w:left w:val="none" w:sz="0" w:space="0" w:color="auto"/>
                <w:bottom w:val="none" w:sz="0" w:space="0" w:color="auto"/>
                <w:right w:val="none" w:sz="0" w:space="0" w:color="auto"/>
              </w:divBdr>
            </w:div>
            <w:div w:id="1777402560">
              <w:marLeft w:val="0"/>
              <w:marRight w:val="0"/>
              <w:marTop w:val="0"/>
              <w:marBottom w:val="0"/>
              <w:divBdr>
                <w:top w:val="none" w:sz="0" w:space="0" w:color="auto"/>
                <w:left w:val="none" w:sz="0" w:space="0" w:color="auto"/>
                <w:bottom w:val="none" w:sz="0" w:space="0" w:color="auto"/>
                <w:right w:val="none" w:sz="0" w:space="0" w:color="auto"/>
              </w:divBdr>
            </w:div>
            <w:div w:id="1781336165">
              <w:marLeft w:val="0"/>
              <w:marRight w:val="0"/>
              <w:marTop w:val="0"/>
              <w:marBottom w:val="0"/>
              <w:divBdr>
                <w:top w:val="none" w:sz="0" w:space="0" w:color="auto"/>
                <w:left w:val="none" w:sz="0" w:space="0" w:color="auto"/>
                <w:bottom w:val="none" w:sz="0" w:space="0" w:color="auto"/>
                <w:right w:val="none" w:sz="0" w:space="0" w:color="auto"/>
              </w:divBdr>
            </w:div>
            <w:div w:id="1915815466">
              <w:marLeft w:val="0"/>
              <w:marRight w:val="0"/>
              <w:marTop w:val="0"/>
              <w:marBottom w:val="0"/>
              <w:divBdr>
                <w:top w:val="none" w:sz="0" w:space="0" w:color="auto"/>
                <w:left w:val="none" w:sz="0" w:space="0" w:color="auto"/>
                <w:bottom w:val="none" w:sz="0" w:space="0" w:color="auto"/>
                <w:right w:val="none" w:sz="0" w:space="0" w:color="auto"/>
              </w:divBdr>
            </w:div>
            <w:div w:id="1922519081">
              <w:marLeft w:val="0"/>
              <w:marRight w:val="0"/>
              <w:marTop w:val="0"/>
              <w:marBottom w:val="0"/>
              <w:divBdr>
                <w:top w:val="none" w:sz="0" w:space="0" w:color="auto"/>
                <w:left w:val="none" w:sz="0" w:space="0" w:color="auto"/>
                <w:bottom w:val="none" w:sz="0" w:space="0" w:color="auto"/>
                <w:right w:val="none" w:sz="0" w:space="0" w:color="auto"/>
              </w:divBdr>
            </w:div>
            <w:div w:id="1946841646">
              <w:marLeft w:val="0"/>
              <w:marRight w:val="0"/>
              <w:marTop w:val="0"/>
              <w:marBottom w:val="0"/>
              <w:divBdr>
                <w:top w:val="none" w:sz="0" w:space="0" w:color="auto"/>
                <w:left w:val="none" w:sz="0" w:space="0" w:color="auto"/>
                <w:bottom w:val="none" w:sz="0" w:space="0" w:color="auto"/>
                <w:right w:val="none" w:sz="0" w:space="0" w:color="auto"/>
              </w:divBdr>
            </w:div>
            <w:div w:id="1957372959">
              <w:marLeft w:val="0"/>
              <w:marRight w:val="0"/>
              <w:marTop w:val="0"/>
              <w:marBottom w:val="0"/>
              <w:divBdr>
                <w:top w:val="none" w:sz="0" w:space="0" w:color="auto"/>
                <w:left w:val="none" w:sz="0" w:space="0" w:color="auto"/>
                <w:bottom w:val="none" w:sz="0" w:space="0" w:color="auto"/>
                <w:right w:val="none" w:sz="0" w:space="0" w:color="auto"/>
              </w:divBdr>
            </w:div>
            <w:div w:id="1965843843">
              <w:marLeft w:val="0"/>
              <w:marRight w:val="0"/>
              <w:marTop w:val="0"/>
              <w:marBottom w:val="0"/>
              <w:divBdr>
                <w:top w:val="none" w:sz="0" w:space="0" w:color="auto"/>
                <w:left w:val="none" w:sz="0" w:space="0" w:color="auto"/>
                <w:bottom w:val="none" w:sz="0" w:space="0" w:color="auto"/>
                <w:right w:val="none" w:sz="0" w:space="0" w:color="auto"/>
              </w:divBdr>
            </w:div>
            <w:div w:id="1972516725">
              <w:marLeft w:val="0"/>
              <w:marRight w:val="0"/>
              <w:marTop w:val="0"/>
              <w:marBottom w:val="0"/>
              <w:divBdr>
                <w:top w:val="none" w:sz="0" w:space="0" w:color="auto"/>
                <w:left w:val="none" w:sz="0" w:space="0" w:color="auto"/>
                <w:bottom w:val="none" w:sz="0" w:space="0" w:color="auto"/>
                <w:right w:val="none" w:sz="0" w:space="0" w:color="auto"/>
              </w:divBdr>
            </w:div>
            <w:div w:id="2051759734">
              <w:marLeft w:val="0"/>
              <w:marRight w:val="0"/>
              <w:marTop w:val="0"/>
              <w:marBottom w:val="0"/>
              <w:divBdr>
                <w:top w:val="none" w:sz="0" w:space="0" w:color="auto"/>
                <w:left w:val="none" w:sz="0" w:space="0" w:color="auto"/>
                <w:bottom w:val="none" w:sz="0" w:space="0" w:color="auto"/>
                <w:right w:val="none" w:sz="0" w:space="0" w:color="auto"/>
              </w:divBdr>
            </w:div>
            <w:div w:id="2141149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9172240">
      <w:bodyDiv w:val="1"/>
      <w:marLeft w:val="0"/>
      <w:marRight w:val="0"/>
      <w:marTop w:val="0"/>
      <w:marBottom w:val="0"/>
      <w:divBdr>
        <w:top w:val="none" w:sz="0" w:space="0" w:color="auto"/>
        <w:left w:val="none" w:sz="0" w:space="0" w:color="auto"/>
        <w:bottom w:val="none" w:sz="0" w:space="0" w:color="auto"/>
        <w:right w:val="none" w:sz="0" w:space="0" w:color="auto"/>
      </w:divBdr>
      <w:divsChild>
        <w:div w:id="353264189">
          <w:marLeft w:val="480"/>
          <w:marRight w:val="0"/>
          <w:marTop w:val="0"/>
          <w:marBottom w:val="0"/>
          <w:divBdr>
            <w:top w:val="none" w:sz="0" w:space="0" w:color="auto"/>
            <w:left w:val="none" w:sz="0" w:space="0" w:color="auto"/>
            <w:bottom w:val="none" w:sz="0" w:space="0" w:color="auto"/>
            <w:right w:val="none" w:sz="0" w:space="0" w:color="auto"/>
          </w:divBdr>
          <w:divsChild>
            <w:div w:id="74979737">
              <w:marLeft w:val="0"/>
              <w:marRight w:val="0"/>
              <w:marTop w:val="0"/>
              <w:marBottom w:val="0"/>
              <w:divBdr>
                <w:top w:val="none" w:sz="0" w:space="0" w:color="auto"/>
                <w:left w:val="none" w:sz="0" w:space="0" w:color="auto"/>
                <w:bottom w:val="none" w:sz="0" w:space="0" w:color="auto"/>
                <w:right w:val="none" w:sz="0" w:space="0" w:color="auto"/>
              </w:divBdr>
            </w:div>
            <w:div w:id="106390139">
              <w:marLeft w:val="0"/>
              <w:marRight w:val="0"/>
              <w:marTop w:val="0"/>
              <w:marBottom w:val="0"/>
              <w:divBdr>
                <w:top w:val="none" w:sz="0" w:space="0" w:color="auto"/>
                <w:left w:val="none" w:sz="0" w:space="0" w:color="auto"/>
                <w:bottom w:val="none" w:sz="0" w:space="0" w:color="auto"/>
                <w:right w:val="none" w:sz="0" w:space="0" w:color="auto"/>
              </w:divBdr>
            </w:div>
            <w:div w:id="147674060">
              <w:marLeft w:val="0"/>
              <w:marRight w:val="0"/>
              <w:marTop w:val="0"/>
              <w:marBottom w:val="0"/>
              <w:divBdr>
                <w:top w:val="none" w:sz="0" w:space="0" w:color="auto"/>
                <w:left w:val="none" w:sz="0" w:space="0" w:color="auto"/>
                <w:bottom w:val="none" w:sz="0" w:space="0" w:color="auto"/>
                <w:right w:val="none" w:sz="0" w:space="0" w:color="auto"/>
              </w:divBdr>
            </w:div>
            <w:div w:id="179122258">
              <w:marLeft w:val="0"/>
              <w:marRight w:val="0"/>
              <w:marTop w:val="0"/>
              <w:marBottom w:val="0"/>
              <w:divBdr>
                <w:top w:val="none" w:sz="0" w:space="0" w:color="auto"/>
                <w:left w:val="none" w:sz="0" w:space="0" w:color="auto"/>
                <w:bottom w:val="none" w:sz="0" w:space="0" w:color="auto"/>
                <w:right w:val="none" w:sz="0" w:space="0" w:color="auto"/>
              </w:divBdr>
            </w:div>
            <w:div w:id="242494998">
              <w:marLeft w:val="0"/>
              <w:marRight w:val="0"/>
              <w:marTop w:val="0"/>
              <w:marBottom w:val="0"/>
              <w:divBdr>
                <w:top w:val="none" w:sz="0" w:space="0" w:color="auto"/>
                <w:left w:val="none" w:sz="0" w:space="0" w:color="auto"/>
                <w:bottom w:val="none" w:sz="0" w:space="0" w:color="auto"/>
                <w:right w:val="none" w:sz="0" w:space="0" w:color="auto"/>
              </w:divBdr>
            </w:div>
            <w:div w:id="294339215">
              <w:marLeft w:val="0"/>
              <w:marRight w:val="0"/>
              <w:marTop w:val="0"/>
              <w:marBottom w:val="0"/>
              <w:divBdr>
                <w:top w:val="none" w:sz="0" w:space="0" w:color="auto"/>
                <w:left w:val="none" w:sz="0" w:space="0" w:color="auto"/>
                <w:bottom w:val="none" w:sz="0" w:space="0" w:color="auto"/>
                <w:right w:val="none" w:sz="0" w:space="0" w:color="auto"/>
              </w:divBdr>
            </w:div>
            <w:div w:id="336689218">
              <w:marLeft w:val="0"/>
              <w:marRight w:val="0"/>
              <w:marTop w:val="0"/>
              <w:marBottom w:val="0"/>
              <w:divBdr>
                <w:top w:val="none" w:sz="0" w:space="0" w:color="auto"/>
                <w:left w:val="none" w:sz="0" w:space="0" w:color="auto"/>
                <w:bottom w:val="none" w:sz="0" w:space="0" w:color="auto"/>
                <w:right w:val="none" w:sz="0" w:space="0" w:color="auto"/>
              </w:divBdr>
            </w:div>
            <w:div w:id="339548244">
              <w:marLeft w:val="0"/>
              <w:marRight w:val="0"/>
              <w:marTop w:val="0"/>
              <w:marBottom w:val="0"/>
              <w:divBdr>
                <w:top w:val="none" w:sz="0" w:space="0" w:color="auto"/>
                <w:left w:val="none" w:sz="0" w:space="0" w:color="auto"/>
                <w:bottom w:val="none" w:sz="0" w:space="0" w:color="auto"/>
                <w:right w:val="none" w:sz="0" w:space="0" w:color="auto"/>
              </w:divBdr>
            </w:div>
            <w:div w:id="587274705">
              <w:marLeft w:val="0"/>
              <w:marRight w:val="0"/>
              <w:marTop w:val="0"/>
              <w:marBottom w:val="0"/>
              <w:divBdr>
                <w:top w:val="none" w:sz="0" w:space="0" w:color="auto"/>
                <w:left w:val="none" w:sz="0" w:space="0" w:color="auto"/>
                <w:bottom w:val="none" w:sz="0" w:space="0" w:color="auto"/>
                <w:right w:val="none" w:sz="0" w:space="0" w:color="auto"/>
              </w:divBdr>
            </w:div>
            <w:div w:id="593048405">
              <w:marLeft w:val="0"/>
              <w:marRight w:val="0"/>
              <w:marTop w:val="0"/>
              <w:marBottom w:val="0"/>
              <w:divBdr>
                <w:top w:val="none" w:sz="0" w:space="0" w:color="auto"/>
                <w:left w:val="none" w:sz="0" w:space="0" w:color="auto"/>
                <w:bottom w:val="none" w:sz="0" w:space="0" w:color="auto"/>
                <w:right w:val="none" w:sz="0" w:space="0" w:color="auto"/>
              </w:divBdr>
            </w:div>
            <w:div w:id="596527771">
              <w:marLeft w:val="0"/>
              <w:marRight w:val="0"/>
              <w:marTop w:val="0"/>
              <w:marBottom w:val="0"/>
              <w:divBdr>
                <w:top w:val="none" w:sz="0" w:space="0" w:color="auto"/>
                <w:left w:val="none" w:sz="0" w:space="0" w:color="auto"/>
                <w:bottom w:val="none" w:sz="0" w:space="0" w:color="auto"/>
                <w:right w:val="none" w:sz="0" w:space="0" w:color="auto"/>
              </w:divBdr>
            </w:div>
            <w:div w:id="652636515">
              <w:marLeft w:val="0"/>
              <w:marRight w:val="0"/>
              <w:marTop w:val="0"/>
              <w:marBottom w:val="0"/>
              <w:divBdr>
                <w:top w:val="none" w:sz="0" w:space="0" w:color="auto"/>
                <w:left w:val="none" w:sz="0" w:space="0" w:color="auto"/>
                <w:bottom w:val="none" w:sz="0" w:space="0" w:color="auto"/>
                <w:right w:val="none" w:sz="0" w:space="0" w:color="auto"/>
              </w:divBdr>
            </w:div>
            <w:div w:id="676419170">
              <w:marLeft w:val="0"/>
              <w:marRight w:val="0"/>
              <w:marTop w:val="0"/>
              <w:marBottom w:val="0"/>
              <w:divBdr>
                <w:top w:val="none" w:sz="0" w:space="0" w:color="auto"/>
                <w:left w:val="none" w:sz="0" w:space="0" w:color="auto"/>
                <w:bottom w:val="none" w:sz="0" w:space="0" w:color="auto"/>
                <w:right w:val="none" w:sz="0" w:space="0" w:color="auto"/>
              </w:divBdr>
            </w:div>
            <w:div w:id="691301142">
              <w:marLeft w:val="0"/>
              <w:marRight w:val="0"/>
              <w:marTop w:val="0"/>
              <w:marBottom w:val="0"/>
              <w:divBdr>
                <w:top w:val="none" w:sz="0" w:space="0" w:color="auto"/>
                <w:left w:val="none" w:sz="0" w:space="0" w:color="auto"/>
                <w:bottom w:val="none" w:sz="0" w:space="0" w:color="auto"/>
                <w:right w:val="none" w:sz="0" w:space="0" w:color="auto"/>
              </w:divBdr>
            </w:div>
            <w:div w:id="737673245">
              <w:marLeft w:val="0"/>
              <w:marRight w:val="0"/>
              <w:marTop w:val="0"/>
              <w:marBottom w:val="0"/>
              <w:divBdr>
                <w:top w:val="none" w:sz="0" w:space="0" w:color="auto"/>
                <w:left w:val="none" w:sz="0" w:space="0" w:color="auto"/>
                <w:bottom w:val="none" w:sz="0" w:space="0" w:color="auto"/>
                <w:right w:val="none" w:sz="0" w:space="0" w:color="auto"/>
              </w:divBdr>
            </w:div>
            <w:div w:id="752553185">
              <w:marLeft w:val="0"/>
              <w:marRight w:val="0"/>
              <w:marTop w:val="0"/>
              <w:marBottom w:val="0"/>
              <w:divBdr>
                <w:top w:val="none" w:sz="0" w:space="0" w:color="auto"/>
                <w:left w:val="none" w:sz="0" w:space="0" w:color="auto"/>
                <w:bottom w:val="none" w:sz="0" w:space="0" w:color="auto"/>
                <w:right w:val="none" w:sz="0" w:space="0" w:color="auto"/>
              </w:divBdr>
            </w:div>
            <w:div w:id="796532509">
              <w:marLeft w:val="0"/>
              <w:marRight w:val="0"/>
              <w:marTop w:val="0"/>
              <w:marBottom w:val="0"/>
              <w:divBdr>
                <w:top w:val="none" w:sz="0" w:space="0" w:color="auto"/>
                <w:left w:val="none" w:sz="0" w:space="0" w:color="auto"/>
                <w:bottom w:val="none" w:sz="0" w:space="0" w:color="auto"/>
                <w:right w:val="none" w:sz="0" w:space="0" w:color="auto"/>
              </w:divBdr>
            </w:div>
            <w:div w:id="896860362">
              <w:marLeft w:val="0"/>
              <w:marRight w:val="0"/>
              <w:marTop w:val="0"/>
              <w:marBottom w:val="0"/>
              <w:divBdr>
                <w:top w:val="none" w:sz="0" w:space="0" w:color="auto"/>
                <w:left w:val="none" w:sz="0" w:space="0" w:color="auto"/>
                <w:bottom w:val="none" w:sz="0" w:space="0" w:color="auto"/>
                <w:right w:val="none" w:sz="0" w:space="0" w:color="auto"/>
              </w:divBdr>
            </w:div>
            <w:div w:id="911037841">
              <w:marLeft w:val="0"/>
              <w:marRight w:val="0"/>
              <w:marTop w:val="0"/>
              <w:marBottom w:val="0"/>
              <w:divBdr>
                <w:top w:val="none" w:sz="0" w:space="0" w:color="auto"/>
                <w:left w:val="none" w:sz="0" w:space="0" w:color="auto"/>
                <w:bottom w:val="none" w:sz="0" w:space="0" w:color="auto"/>
                <w:right w:val="none" w:sz="0" w:space="0" w:color="auto"/>
              </w:divBdr>
            </w:div>
            <w:div w:id="926958079">
              <w:marLeft w:val="0"/>
              <w:marRight w:val="0"/>
              <w:marTop w:val="0"/>
              <w:marBottom w:val="0"/>
              <w:divBdr>
                <w:top w:val="none" w:sz="0" w:space="0" w:color="auto"/>
                <w:left w:val="none" w:sz="0" w:space="0" w:color="auto"/>
                <w:bottom w:val="none" w:sz="0" w:space="0" w:color="auto"/>
                <w:right w:val="none" w:sz="0" w:space="0" w:color="auto"/>
              </w:divBdr>
            </w:div>
            <w:div w:id="981041085">
              <w:marLeft w:val="0"/>
              <w:marRight w:val="0"/>
              <w:marTop w:val="0"/>
              <w:marBottom w:val="0"/>
              <w:divBdr>
                <w:top w:val="none" w:sz="0" w:space="0" w:color="auto"/>
                <w:left w:val="none" w:sz="0" w:space="0" w:color="auto"/>
                <w:bottom w:val="none" w:sz="0" w:space="0" w:color="auto"/>
                <w:right w:val="none" w:sz="0" w:space="0" w:color="auto"/>
              </w:divBdr>
            </w:div>
            <w:div w:id="1146584910">
              <w:marLeft w:val="0"/>
              <w:marRight w:val="0"/>
              <w:marTop w:val="0"/>
              <w:marBottom w:val="0"/>
              <w:divBdr>
                <w:top w:val="none" w:sz="0" w:space="0" w:color="auto"/>
                <w:left w:val="none" w:sz="0" w:space="0" w:color="auto"/>
                <w:bottom w:val="none" w:sz="0" w:space="0" w:color="auto"/>
                <w:right w:val="none" w:sz="0" w:space="0" w:color="auto"/>
              </w:divBdr>
            </w:div>
            <w:div w:id="1150634155">
              <w:marLeft w:val="0"/>
              <w:marRight w:val="0"/>
              <w:marTop w:val="0"/>
              <w:marBottom w:val="0"/>
              <w:divBdr>
                <w:top w:val="none" w:sz="0" w:space="0" w:color="auto"/>
                <w:left w:val="none" w:sz="0" w:space="0" w:color="auto"/>
                <w:bottom w:val="none" w:sz="0" w:space="0" w:color="auto"/>
                <w:right w:val="none" w:sz="0" w:space="0" w:color="auto"/>
              </w:divBdr>
            </w:div>
            <w:div w:id="1186795549">
              <w:marLeft w:val="0"/>
              <w:marRight w:val="0"/>
              <w:marTop w:val="0"/>
              <w:marBottom w:val="0"/>
              <w:divBdr>
                <w:top w:val="none" w:sz="0" w:space="0" w:color="auto"/>
                <w:left w:val="none" w:sz="0" w:space="0" w:color="auto"/>
                <w:bottom w:val="none" w:sz="0" w:space="0" w:color="auto"/>
                <w:right w:val="none" w:sz="0" w:space="0" w:color="auto"/>
              </w:divBdr>
            </w:div>
            <w:div w:id="1284381910">
              <w:marLeft w:val="0"/>
              <w:marRight w:val="0"/>
              <w:marTop w:val="0"/>
              <w:marBottom w:val="0"/>
              <w:divBdr>
                <w:top w:val="none" w:sz="0" w:space="0" w:color="auto"/>
                <w:left w:val="none" w:sz="0" w:space="0" w:color="auto"/>
                <w:bottom w:val="none" w:sz="0" w:space="0" w:color="auto"/>
                <w:right w:val="none" w:sz="0" w:space="0" w:color="auto"/>
              </w:divBdr>
            </w:div>
            <w:div w:id="1389458117">
              <w:marLeft w:val="0"/>
              <w:marRight w:val="0"/>
              <w:marTop w:val="0"/>
              <w:marBottom w:val="0"/>
              <w:divBdr>
                <w:top w:val="none" w:sz="0" w:space="0" w:color="auto"/>
                <w:left w:val="none" w:sz="0" w:space="0" w:color="auto"/>
                <w:bottom w:val="none" w:sz="0" w:space="0" w:color="auto"/>
                <w:right w:val="none" w:sz="0" w:space="0" w:color="auto"/>
              </w:divBdr>
            </w:div>
            <w:div w:id="1401363437">
              <w:marLeft w:val="0"/>
              <w:marRight w:val="0"/>
              <w:marTop w:val="0"/>
              <w:marBottom w:val="0"/>
              <w:divBdr>
                <w:top w:val="none" w:sz="0" w:space="0" w:color="auto"/>
                <w:left w:val="none" w:sz="0" w:space="0" w:color="auto"/>
                <w:bottom w:val="none" w:sz="0" w:space="0" w:color="auto"/>
                <w:right w:val="none" w:sz="0" w:space="0" w:color="auto"/>
              </w:divBdr>
            </w:div>
            <w:div w:id="1405223944">
              <w:marLeft w:val="0"/>
              <w:marRight w:val="0"/>
              <w:marTop w:val="0"/>
              <w:marBottom w:val="0"/>
              <w:divBdr>
                <w:top w:val="none" w:sz="0" w:space="0" w:color="auto"/>
                <w:left w:val="none" w:sz="0" w:space="0" w:color="auto"/>
                <w:bottom w:val="none" w:sz="0" w:space="0" w:color="auto"/>
                <w:right w:val="none" w:sz="0" w:space="0" w:color="auto"/>
              </w:divBdr>
            </w:div>
            <w:div w:id="1422490275">
              <w:marLeft w:val="0"/>
              <w:marRight w:val="0"/>
              <w:marTop w:val="0"/>
              <w:marBottom w:val="0"/>
              <w:divBdr>
                <w:top w:val="none" w:sz="0" w:space="0" w:color="auto"/>
                <w:left w:val="none" w:sz="0" w:space="0" w:color="auto"/>
                <w:bottom w:val="none" w:sz="0" w:space="0" w:color="auto"/>
                <w:right w:val="none" w:sz="0" w:space="0" w:color="auto"/>
              </w:divBdr>
            </w:div>
            <w:div w:id="1506433297">
              <w:marLeft w:val="0"/>
              <w:marRight w:val="0"/>
              <w:marTop w:val="0"/>
              <w:marBottom w:val="0"/>
              <w:divBdr>
                <w:top w:val="none" w:sz="0" w:space="0" w:color="auto"/>
                <w:left w:val="none" w:sz="0" w:space="0" w:color="auto"/>
                <w:bottom w:val="none" w:sz="0" w:space="0" w:color="auto"/>
                <w:right w:val="none" w:sz="0" w:space="0" w:color="auto"/>
              </w:divBdr>
            </w:div>
            <w:div w:id="1521580112">
              <w:marLeft w:val="0"/>
              <w:marRight w:val="0"/>
              <w:marTop w:val="0"/>
              <w:marBottom w:val="0"/>
              <w:divBdr>
                <w:top w:val="none" w:sz="0" w:space="0" w:color="auto"/>
                <w:left w:val="none" w:sz="0" w:space="0" w:color="auto"/>
                <w:bottom w:val="none" w:sz="0" w:space="0" w:color="auto"/>
                <w:right w:val="none" w:sz="0" w:space="0" w:color="auto"/>
              </w:divBdr>
            </w:div>
            <w:div w:id="1628195528">
              <w:marLeft w:val="0"/>
              <w:marRight w:val="0"/>
              <w:marTop w:val="0"/>
              <w:marBottom w:val="0"/>
              <w:divBdr>
                <w:top w:val="none" w:sz="0" w:space="0" w:color="auto"/>
                <w:left w:val="none" w:sz="0" w:space="0" w:color="auto"/>
                <w:bottom w:val="none" w:sz="0" w:space="0" w:color="auto"/>
                <w:right w:val="none" w:sz="0" w:space="0" w:color="auto"/>
              </w:divBdr>
            </w:div>
            <w:div w:id="1806966117">
              <w:marLeft w:val="0"/>
              <w:marRight w:val="0"/>
              <w:marTop w:val="0"/>
              <w:marBottom w:val="0"/>
              <w:divBdr>
                <w:top w:val="none" w:sz="0" w:space="0" w:color="auto"/>
                <w:left w:val="none" w:sz="0" w:space="0" w:color="auto"/>
                <w:bottom w:val="none" w:sz="0" w:space="0" w:color="auto"/>
                <w:right w:val="none" w:sz="0" w:space="0" w:color="auto"/>
              </w:divBdr>
            </w:div>
            <w:div w:id="1926573040">
              <w:marLeft w:val="0"/>
              <w:marRight w:val="0"/>
              <w:marTop w:val="0"/>
              <w:marBottom w:val="0"/>
              <w:divBdr>
                <w:top w:val="none" w:sz="0" w:space="0" w:color="auto"/>
                <w:left w:val="none" w:sz="0" w:space="0" w:color="auto"/>
                <w:bottom w:val="none" w:sz="0" w:space="0" w:color="auto"/>
                <w:right w:val="none" w:sz="0" w:space="0" w:color="auto"/>
              </w:divBdr>
            </w:div>
            <w:div w:id="1970086685">
              <w:marLeft w:val="0"/>
              <w:marRight w:val="0"/>
              <w:marTop w:val="0"/>
              <w:marBottom w:val="0"/>
              <w:divBdr>
                <w:top w:val="none" w:sz="0" w:space="0" w:color="auto"/>
                <w:left w:val="none" w:sz="0" w:space="0" w:color="auto"/>
                <w:bottom w:val="none" w:sz="0" w:space="0" w:color="auto"/>
                <w:right w:val="none" w:sz="0" w:space="0" w:color="auto"/>
              </w:divBdr>
            </w:div>
            <w:div w:id="2032879465">
              <w:marLeft w:val="0"/>
              <w:marRight w:val="0"/>
              <w:marTop w:val="0"/>
              <w:marBottom w:val="0"/>
              <w:divBdr>
                <w:top w:val="none" w:sz="0" w:space="0" w:color="auto"/>
                <w:left w:val="none" w:sz="0" w:space="0" w:color="auto"/>
                <w:bottom w:val="none" w:sz="0" w:space="0" w:color="auto"/>
                <w:right w:val="none" w:sz="0" w:space="0" w:color="auto"/>
              </w:divBdr>
            </w:div>
            <w:div w:id="2093888797">
              <w:marLeft w:val="0"/>
              <w:marRight w:val="0"/>
              <w:marTop w:val="0"/>
              <w:marBottom w:val="0"/>
              <w:divBdr>
                <w:top w:val="none" w:sz="0" w:space="0" w:color="auto"/>
                <w:left w:val="none" w:sz="0" w:space="0" w:color="auto"/>
                <w:bottom w:val="none" w:sz="0" w:space="0" w:color="auto"/>
                <w:right w:val="none" w:sz="0" w:space="0" w:color="auto"/>
              </w:divBdr>
            </w:div>
            <w:div w:id="2142963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9629494">
      <w:bodyDiv w:val="1"/>
      <w:marLeft w:val="0"/>
      <w:marRight w:val="0"/>
      <w:marTop w:val="0"/>
      <w:marBottom w:val="0"/>
      <w:divBdr>
        <w:top w:val="none" w:sz="0" w:space="0" w:color="auto"/>
        <w:left w:val="none" w:sz="0" w:space="0" w:color="auto"/>
        <w:bottom w:val="none" w:sz="0" w:space="0" w:color="auto"/>
        <w:right w:val="none" w:sz="0" w:space="0" w:color="auto"/>
      </w:divBdr>
      <w:divsChild>
        <w:div w:id="514079056">
          <w:marLeft w:val="0"/>
          <w:marRight w:val="0"/>
          <w:marTop w:val="0"/>
          <w:marBottom w:val="0"/>
          <w:divBdr>
            <w:top w:val="none" w:sz="0" w:space="0" w:color="auto"/>
            <w:left w:val="none" w:sz="0" w:space="0" w:color="auto"/>
            <w:bottom w:val="none" w:sz="0" w:space="0" w:color="auto"/>
            <w:right w:val="none" w:sz="0" w:space="0" w:color="auto"/>
          </w:divBdr>
        </w:div>
      </w:divsChild>
    </w:div>
    <w:div w:id="1728843845">
      <w:bodyDiv w:val="1"/>
      <w:marLeft w:val="0"/>
      <w:marRight w:val="0"/>
      <w:marTop w:val="0"/>
      <w:marBottom w:val="0"/>
      <w:divBdr>
        <w:top w:val="none" w:sz="0" w:space="0" w:color="auto"/>
        <w:left w:val="none" w:sz="0" w:space="0" w:color="auto"/>
        <w:bottom w:val="none" w:sz="0" w:space="0" w:color="auto"/>
        <w:right w:val="none" w:sz="0" w:space="0" w:color="auto"/>
      </w:divBdr>
      <w:divsChild>
        <w:div w:id="258802991">
          <w:marLeft w:val="0"/>
          <w:marRight w:val="0"/>
          <w:marTop w:val="0"/>
          <w:marBottom w:val="0"/>
          <w:divBdr>
            <w:top w:val="none" w:sz="0" w:space="0" w:color="auto"/>
            <w:left w:val="none" w:sz="0" w:space="0" w:color="auto"/>
            <w:bottom w:val="none" w:sz="0" w:space="0" w:color="auto"/>
            <w:right w:val="none" w:sz="0" w:space="0" w:color="auto"/>
          </w:divBdr>
        </w:div>
        <w:div w:id="1065957576">
          <w:marLeft w:val="0"/>
          <w:marRight w:val="0"/>
          <w:marTop w:val="0"/>
          <w:marBottom w:val="0"/>
          <w:divBdr>
            <w:top w:val="none" w:sz="0" w:space="0" w:color="auto"/>
            <w:left w:val="none" w:sz="0" w:space="0" w:color="auto"/>
            <w:bottom w:val="none" w:sz="0" w:space="0" w:color="auto"/>
            <w:right w:val="none" w:sz="0" w:space="0" w:color="auto"/>
          </w:divBdr>
          <w:divsChild>
            <w:div w:id="431903645">
              <w:marLeft w:val="0"/>
              <w:marRight w:val="0"/>
              <w:marTop w:val="0"/>
              <w:marBottom w:val="0"/>
              <w:divBdr>
                <w:top w:val="none" w:sz="0" w:space="0" w:color="auto"/>
                <w:left w:val="none" w:sz="0" w:space="0" w:color="auto"/>
                <w:bottom w:val="none" w:sz="0" w:space="0" w:color="auto"/>
                <w:right w:val="none" w:sz="0" w:space="0" w:color="auto"/>
              </w:divBdr>
              <w:divsChild>
                <w:div w:id="524490194">
                  <w:marLeft w:val="0"/>
                  <w:marRight w:val="0"/>
                  <w:marTop w:val="0"/>
                  <w:marBottom w:val="0"/>
                  <w:divBdr>
                    <w:top w:val="none" w:sz="0" w:space="0" w:color="auto"/>
                    <w:left w:val="none" w:sz="0" w:space="0" w:color="auto"/>
                    <w:bottom w:val="none" w:sz="0" w:space="0" w:color="auto"/>
                    <w:right w:val="none" w:sz="0" w:space="0" w:color="auto"/>
                  </w:divBdr>
                  <w:divsChild>
                    <w:div w:id="1494369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0384378">
      <w:bodyDiv w:val="1"/>
      <w:marLeft w:val="0"/>
      <w:marRight w:val="0"/>
      <w:marTop w:val="0"/>
      <w:marBottom w:val="0"/>
      <w:divBdr>
        <w:top w:val="none" w:sz="0" w:space="0" w:color="auto"/>
        <w:left w:val="none" w:sz="0" w:space="0" w:color="auto"/>
        <w:bottom w:val="none" w:sz="0" w:space="0" w:color="auto"/>
        <w:right w:val="none" w:sz="0" w:space="0" w:color="auto"/>
      </w:divBdr>
      <w:divsChild>
        <w:div w:id="2026397972">
          <w:marLeft w:val="480"/>
          <w:marRight w:val="0"/>
          <w:marTop w:val="0"/>
          <w:marBottom w:val="0"/>
          <w:divBdr>
            <w:top w:val="none" w:sz="0" w:space="0" w:color="auto"/>
            <w:left w:val="none" w:sz="0" w:space="0" w:color="auto"/>
            <w:bottom w:val="none" w:sz="0" w:space="0" w:color="auto"/>
            <w:right w:val="none" w:sz="0" w:space="0" w:color="auto"/>
          </w:divBdr>
          <w:divsChild>
            <w:div w:id="542987936">
              <w:marLeft w:val="0"/>
              <w:marRight w:val="0"/>
              <w:marTop w:val="0"/>
              <w:marBottom w:val="0"/>
              <w:divBdr>
                <w:top w:val="none" w:sz="0" w:space="0" w:color="auto"/>
                <w:left w:val="none" w:sz="0" w:space="0" w:color="auto"/>
                <w:bottom w:val="none" w:sz="0" w:space="0" w:color="auto"/>
                <w:right w:val="none" w:sz="0" w:space="0" w:color="auto"/>
              </w:divBdr>
            </w:div>
            <w:div w:id="1061244766">
              <w:marLeft w:val="0"/>
              <w:marRight w:val="0"/>
              <w:marTop w:val="0"/>
              <w:marBottom w:val="0"/>
              <w:divBdr>
                <w:top w:val="none" w:sz="0" w:space="0" w:color="auto"/>
                <w:left w:val="none" w:sz="0" w:space="0" w:color="auto"/>
                <w:bottom w:val="none" w:sz="0" w:space="0" w:color="auto"/>
                <w:right w:val="none" w:sz="0" w:space="0" w:color="auto"/>
              </w:divBdr>
            </w:div>
            <w:div w:id="1799831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tiff"/><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1.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56E3F6C-D779-B747-BC45-00633D7AE8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117</TotalTime>
  <Pages>34</Pages>
  <Words>47110</Words>
  <Characters>268529</Characters>
  <Application>Microsoft Office Word</Application>
  <DocSecurity>0</DocSecurity>
  <Lines>2237</Lines>
  <Paragraphs>630</Paragraphs>
  <ScaleCrop>false</ScaleCrop>
  <HeadingPairs>
    <vt:vector size="2" baseType="variant">
      <vt:variant>
        <vt:lpstr>Title</vt:lpstr>
      </vt:variant>
      <vt:variant>
        <vt:i4>1</vt:i4>
      </vt:variant>
    </vt:vector>
  </HeadingPairs>
  <TitlesOfParts>
    <vt:vector size="1" baseType="lpstr">
      <vt:lpstr>FULL TITLE HERE IN ALL CAPS IN A FORMAT</vt:lpstr>
    </vt:vector>
  </TitlesOfParts>
  <Company/>
  <LinksUpToDate>false</LinksUpToDate>
  <CharactersWithSpaces>315009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FULL TITLE HERE IN ALL CAPS IN A FORMAT</dc:title>
  <dc:subject/>
  <dc:creator>maxwedc</dc:creator>
  <cp:keywords/>
  <dc:description/>
  <cp:lastModifiedBy>sss@pdx.edu</cp:lastModifiedBy>
  <cp:revision>7</cp:revision>
  <cp:lastPrinted>2023-08-08T13:19:00Z</cp:lastPrinted>
  <dcterms:created xsi:type="dcterms:W3CDTF">2023-09-28T15:44:00Z</dcterms:created>
  <dcterms:modified xsi:type="dcterms:W3CDTF">2023-09-28T19:25:00Z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zotero-version="6.0.27"&gt;&lt;session id="zOSYIS73"/&gt;&lt;style id="http://www.zotero.org/styles/american-sociological-association" locale="en-US" hasBibliography="1" bibliographyStyleHasBeenSet="1"/&gt;&lt;prefs&gt;&lt;pref name="fieldType" value="Fiel</vt:lpwstr>
  </property>
  <property fmtid="{D5CDD505-2E9C-101B-9397-08002B2CF9AE}" pid="3" name="ZOTERO_PREF_2">
    <vt:lpwstr>d"/&gt;&lt;pref name="automaticJournalAbbreviations" value="true"/&gt;&lt;/prefs&gt;&lt;/data&gt;</vt:lpwstr>
  </property>
</Properties>
</file>