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BEDFD" w14:textId="77777777" w:rsidR="009D651E" w:rsidRDefault="00000000">
      <w:pPr>
        <w:spacing w:line="480" w:lineRule="auto"/>
        <w:ind w:left="1260" w:right="1242"/>
        <w:jc w:val="center"/>
      </w:pPr>
      <w:r>
        <w:t xml:space="preserve">EXAMINING THE REGULATION OF THE BS21 HOMOLOGS </w:t>
      </w:r>
    </w:p>
    <w:p w14:paraId="6425CD80" w14:textId="77777777" w:rsidR="009D651E" w:rsidRDefault="00000000">
      <w:pPr>
        <w:spacing w:line="480" w:lineRule="auto"/>
        <w:ind w:left="1260" w:right="1242"/>
        <w:jc w:val="center"/>
      </w:pPr>
      <w:r>
        <w:t xml:space="preserve">IN </w:t>
      </w:r>
      <w:r>
        <w:rPr>
          <w:i/>
        </w:rPr>
        <w:t>FRANCISELLA TULARENSIS</w:t>
      </w:r>
      <w:r>
        <w:t xml:space="preserve"> </w:t>
      </w:r>
    </w:p>
    <w:p w14:paraId="19498DBE" w14:textId="77777777" w:rsidR="009D651E" w:rsidRDefault="00000000">
      <w:pPr>
        <w:spacing w:line="480" w:lineRule="auto"/>
        <w:jc w:val="center"/>
      </w:pPr>
      <w:r>
        <w:t>BY</w:t>
      </w:r>
    </w:p>
    <w:p w14:paraId="35CF72EA" w14:textId="77777777" w:rsidR="009D651E" w:rsidRDefault="00000000">
      <w:pPr>
        <w:spacing w:line="480" w:lineRule="auto"/>
        <w:jc w:val="center"/>
      </w:pPr>
      <w:r>
        <w:t>SIERRA SCHMIDT</w:t>
      </w:r>
    </w:p>
    <w:p w14:paraId="72783A05" w14:textId="77777777" w:rsidR="009D651E" w:rsidRDefault="009D651E">
      <w:pPr>
        <w:spacing w:line="480" w:lineRule="auto"/>
        <w:jc w:val="center"/>
      </w:pPr>
    </w:p>
    <w:p w14:paraId="0956C8CE" w14:textId="77777777" w:rsidR="009D651E" w:rsidRDefault="009D651E">
      <w:pPr>
        <w:spacing w:line="480" w:lineRule="auto"/>
      </w:pPr>
    </w:p>
    <w:p w14:paraId="61624B65" w14:textId="77777777" w:rsidR="009D651E" w:rsidRDefault="009D651E">
      <w:pPr>
        <w:spacing w:line="480" w:lineRule="auto"/>
      </w:pPr>
    </w:p>
    <w:p w14:paraId="12F34340" w14:textId="77777777" w:rsidR="009D651E" w:rsidRDefault="009D651E">
      <w:pPr>
        <w:spacing w:line="480" w:lineRule="auto"/>
      </w:pPr>
    </w:p>
    <w:p w14:paraId="1967B4C3" w14:textId="77777777" w:rsidR="009D651E" w:rsidRDefault="00000000">
      <w:pPr>
        <w:spacing w:line="480" w:lineRule="auto"/>
        <w:jc w:val="center"/>
      </w:pPr>
      <w:r>
        <w:t>A THESIS SUBMITTED IN PARTIAL FULFILLMENT OF THE</w:t>
      </w:r>
    </w:p>
    <w:p w14:paraId="3A8E4D65" w14:textId="77777777" w:rsidR="009D651E" w:rsidRDefault="00000000">
      <w:pPr>
        <w:spacing w:line="480" w:lineRule="auto"/>
        <w:jc w:val="center"/>
      </w:pPr>
      <w:r>
        <w:t>REQUIREMENTS FOR THE DEGREE OF</w:t>
      </w:r>
    </w:p>
    <w:p w14:paraId="003BEA25" w14:textId="77777777" w:rsidR="009D651E" w:rsidRDefault="00000000">
      <w:pPr>
        <w:spacing w:line="480" w:lineRule="auto"/>
        <w:jc w:val="center"/>
      </w:pPr>
      <w:r>
        <w:t>MASTER OF SCIENCE</w:t>
      </w:r>
    </w:p>
    <w:p w14:paraId="159247BD" w14:textId="77777777" w:rsidR="009D651E" w:rsidRDefault="00000000">
      <w:pPr>
        <w:spacing w:line="480" w:lineRule="auto"/>
        <w:jc w:val="center"/>
      </w:pPr>
      <w:r>
        <w:t>IN</w:t>
      </w:r>
    </w:p>
    <w:p w14:paraId="27D6DD47" w14:textId="77777777" w:rsidR="009D651E" w:rsidRDefault="00000000">
      <w:pPr>
        <w:spacing w:line="480" w:lineRule="auto"/>
        <w:jc w:val="center"/>
      </w:pPr>
      <w:r>
        <w:t>CELL AND MOLECULAR BIOLOGY</w:t>
      </w:r>
    </w:p>
    <w:p w14:paraId="78F3B6CD" w14:textId="77777777" w:rsidR="009D651E" w:rsidRDefault="009D651E">
      <w:pPr>
        <w:spacing w:line="480" w:lineRule="auto"/>
      </w:pPr>
    </w:p>
    <w:p w14:paraId="38B8C9DD" w14:textId="77777777" w:rsidR="009D651E" w:rsidRDefault="009D651E">
      <w:pPr>
        <w:spacing w:line="480" w:lineRule="auto"/>
      </w:pPr>
    </w:p>
    <w:p w14:paraId="2424F2A3" w14:textId="77777777" w:rsidR="009D651E" w:rsidRDefault="009D651E">
      <w:pPr>
        <w:spacing w:line="480" w:lineRule="auto"/>
      </w:pPr>
    </w:p>
    <w:p w14:paraId="387D1867" w14:textId="77777777" w:rsidR="009D651E" w:rsidRDefault="009D651E">
      <w:pPr>
        <w:spacing w:line="480" w:lineRule="auto"/>
      </w:pPr>
    </w:p>
    <w:p w14:paraId="321E024F" w14:textId="77777777" w:rsidR="009D651E" w:rsidRDefault="009D651E">
      <w:pPr>
        <w:spacing w:line="480" w:lineRule="auto"/>
      </w:pPr>
    </w:p>
    <w:p w14:paraId="444B50D7" w14:textId="77777777" w:rsidR="009D651E" w:rsidRDefault="00000000">
      <w:pPr>
        <w:spacing w:line="480" w:lineRule="auto"/>
        <w:jc w:val="center"/>
      </w:pPr>
      <w:r>
        <w:t>UNIVERSITY OF RHODE ISLAND</w:t>
      </w:r>
    </w:p>
    <w:p w14:paraId="18690E2B" w14:textId="77777777" w:rsidR="009D651E" w:rsidRDefault="00000000">
      <w:pPr>
        <w:spacing w:line="480" w:lineRule="auto"/>
        <w:jc w:val="center"/>
      </w:pPr>
      <w:r>
        <w:t>2023</w:t>
      </w:r>
    </w:p>
    <w:p w14:paraId="115134BB" w14:textId="77777777" w:rsidR="009D651E" w:rsidRDefault="009D651E">
      <w:pPr>
        <w:spacing w:line="480" w:lineRule="auto"/>
        <w:jc w:val="center"/>
      </w:pPr>
    </w:p>
    <w:p w14:paraId="7360AABE" w14:textId="77777777" w:rsidR="009D651E" w:rsidRDefault="009D651E">
      <w:pPr>
        <w:spacing w:line="480" w:lineRule="auto"/>
        <w:jc w:val="center"/>
      </w:pPr>
    </w:p>
    <w:p w14:paraId="5E833FCB" w14:textId="77777777" w:rsidR="009D651E" w:rsidRDefault="00000000">
      <w:pPr>
        <w:spacing w:line="480" w:lineRule="auto"/>
        <w:jc w:val="center"/>
      </w:pPr>
      <w:r>
        <w:lastRenderedPageBreak/>
        <w:t>MASTER OF SCIENCE IN CELL AND MOLECULAR BIOLOGY THESIS</w:t>
      </w:r>
    </w:p>
    <w:p w14:paraId="6C3349DA" w14:textId="77777777" w:rsidR="009D651E" w:rsidRDefault="009D651E"/>
    <w:p w14:paraId="06A51ABF" w14:textId="77777777" w:rsidR="009D651E" w:rsidRDefault="00000000">
      <w:pPr>
        <w:jc w:val="center"/>
      </w:pPr>
      <w:r>
        <w:t>OF</w:t>
      </w:r>
    </w:p>
    <w:p w14:paraId="06FFD041" w14:textId="77777777" w:rsidR="009D651E" w:rsidRDefault="009D651E"/>
    <w:p w14:paraId="1EE5104D" w14:textId="77777777" w:rsidR="009D651E" w:rsidRDefault="00000000">
      <w:pPr>
        <w:jc w:val="center"/>
      </w:pPr>
      <w:r>
        <w:t>SIERRA SCHMIDT</w:t>
      </w:r>
    </w:p>
    <w:p w14:paraId="54AF26C6" w14:textId="77777777" w:rsidR="009D651E" w:rsidRDefault="009D651E"/>
    <w:p w14:paraId="5E6F5ABC" w14:textId="77777777" w:rsidR="009D651E" w:rsidRDefault="009D651E"/>
    <w:p w14:paraId="70F8D235" w14:textId="77777777" w:rsidR="009D651E" w:rsidRDefault="009D651E"/>
    <w:p w14:paraId="14A53B62" w14:textId="77777777" w:rsidR="009D651E" w:rsidRDefault="009D651E"/>
    <w:p w14:paraId="21E3E975" w14:textId="77777777" w:rsidR="009D651E" w:rsidRDefault="009D651E"/>
    <w:p w14:paraId="3F7FF297" w14:textId="77777777" w:rsidR="009D651E" w:rsidRDefault="009D651E"/>
    <w:p w14:paraId="2A8A5077" w14:textId="77777777" w:rsidR="009D651E" w:rsidRDefault="009D651E"/>
    <w:p w14:paraId="173DB542" w14:textId="77777777" w:rsidR="009D651E" w:rsidRDefault="009D651E"/>
    <w:p w14:paraId="355F5827" w14:textId="77777777" w:rsidR="009D651E" w:rsidRDefault="009D651E"/>
    <w:p w14:paraId="25C5AC55" w14:textId="77777777" w:rsidR="009D651E" w:rsidRDefault="009D651E"/>
    <w:p w14:paraId="2B70FC64" w14:textId="77777777" w:rsidR="009D651E" w:rsidRDefault="009D651E"/>
    <w:p w14:paraId="288F550E" w14:textId="77777777" w:rsidR="009D651E" w:rsidRDefault="00000000">
      <w:pPr>
        <w:ind w:left="720" w:firstLine="720"/>
      </w:pPr>
      <w:r>
        <w:t xml:space="preserve">APPROVED: </w:t>
      </w:r>
    </w:p>
    <w:p w14:paraId="1DBED3ED" w14:textId="77777777" w:rsidR="009D651E" w:rsidRDefault="009D651E"/>
    <w:p w14:paraId="3CD4FCC5" w14:textId="77777777" w:rsidR="009D651E" w:rsidRDefault="00000000">
      <w:pPr>
        <w:ind w:left="1440" w:firstLine="720"/>
      </w:pPr>
      <w:r>
        <w:t>Thesis Committee:</w:t>
      </w:r>
    </w:p>
    <w:p w14:paraId="51F1EAF5" w14:textId="77777777" w:rsidR="009D651E" w:rsidRDefault="009D651E"/>
    <w:p w14:paraId="48CF873B" w14:textId="77777777" w:rsidR="009D651E" w:rsidRDefault="00000000">
      <w:pPr>
        <w:ind w:left="2160"/>
      </w:pPr>
      <w:r>
        <w:t>Major Professor</w:t>
      </w:r>
      <w:r>
        <w:tab/>
        <w:t>Kathryn Ramsey</w:t>
      </w:r>
    </w:p>
    <w:p w14:paraId="5C83AE2F" w14:textId="77777777" w:rsidR="009D651E" w:rsidRDefault="009D651E">
      <w:pPr>
        <w:ind w:left="2160"/>
      </w:pPr>
    </w:p>
    <w:p w14:paraId="42BE336A" w14:textId="77777777" w:rsidR="009D651E" w:rsidRDefault="00000000">
      <w:pPr>
        <w:ind w:left="2160"/>
      </w:pPr>
      <w:r>
        <w:tab/>
      </w:r>
      <w:r>
        <w:tab/>
      </w:r>
      <w:r>
        <w:tab/>
        <w:t>Steven Gregory</w:t>
      </w:r>
    </w:p>
    <w:p w14:paraId="15C74A65" w14:textId="77777777" w:rsidR="009D651E" w:rsidRDefault="009D651E">
      <w:pPr>
        <w:ind w:left="2160"/>
      </w:pPr>
    </w:p>
    <w:p w14:paraId="197DB2DA" w14:textId="77777777" w:rsidR="009D651E" w:rsidRDefault="00000000">
      <w:pPr>
        <w:ind w:left="2160"/>
      </w:pPr>
      <w:r>
        <w:tab/>
      </w:r>
      <w:r>
        <w:tab/>
      </w:r>
      <w:r>
        <w:tab/>
        <w:t>David Rowley</w:t>
      </w:r>
    </w:p>
    <w:p w14:paraId="0643047B" w14:textId="77777777" w:rsidR="009D651E" w:rsidRDefault="009D651E">
      <w:pPr>
        <w:ind w:left="2160"/>
      </w:pPr>
    </w:p>
    <w:p w14:paraId="540F8766" w14:textId="77777777" w:rsidR="009D651E" w:rsidRDefault="00000000">
      <w:pPr>
        <w:ind w:left="2160"/>
      </w:pPr>
      <w:r>
        <w:tab/>
      </w:r>
      <w:r>
        <w:tab/>
      </w:r>
      <w:r>
        <w:tab/>
      </w:r>
    </w:p>
    <w:p w14:paraId="72CA2E0A" w14:textId="77777777" w:rsidR="009D651E" w:rsidRDefault="00000000">
      <w:pPr>
        <w:ind w:left="3600"/>
      </w:pPr>
      <w:r>
        <w:t xml:space="preserve">  </w:t>
      </w:r>
      <w:r>
        <w:tab/>
      </w:r>
    </w:p>
    <w:p w14:paraId="51553B9B" w14:textId="77777777" w:rsidR="009D651E" w:rsidRDefault="00000000">
      <w:r>
        <w:tab/>
      </w:r>
      <w:r>
        <w:tab/>
      </w:r>
      <w:r>
        <w:tab/>
      </w:r>
      <w:r>
        <w:tab/>
      </w:r>
      <w:r>
        <w:tab/>
      </w:r>
      <w:r>
        <w:tab/>
        <w:t>Brenton DeBoef</w:t>
      </w:r>
    </w:p>
    <w:p w14:paraId="4DDC7A75" w14:textId="77777777" w:rsidR="009D651E" w:rsidRDefault="00000000">
      <w:pPr>
        <w:ind w:left="2880" w:right="-720" w:firstLine="720"/>
      </w:pPr>
      <w:r>
        <w:t xml:space="preserve">  DEAN OF THE GRADUATE SCHOOL</w:t>
      </w:r>
    </w:p>
    <w:p w14:paraId="1E52A97B" w14:textId="77777777" w:rsidR="009D651E" w:rsidRDefault="009D651E">
      <w:pPr>
        <w:ind w:right="-720"/>
      </w:pPr>
    </w:p>
    <w:p w14:paraId="643C9864" w14:textId="77777777" w:rsidR="009D651E" w:rsidRDefault="009D651E">
      <w:pPr>
        <w:ind w:right="-720"/>
      </w:pPr>
    </w:p>
    <w:p w14:paraId="03AF23D3" w14:textId="77777777" w:rsidR="009D651E" w:rsidRDefault="009D651E">
      <w:pPr>
        <w:ind w:right="-720"/>
      </w:pPr>
    </w:p>
    <w:p w14:paraId="70FE13EA" w14:textId="77777777" w:rsidR="009D651E" w:rsidRDefault="009D651E">
      <w:pPr>
        <w:ind w:right="-720"/>
      </w:pPr>
    </w:p>
    <w:p w14:paraId="5E4EF609" w14:textId="77777777" w:rsidR="009D651E" w:rsidRDefault="009D651E">
      <w:pPr>
        <w:ind w:right="-720"/>
      </w:pPr>
    </w:p>
    <w:p w14:paraId="1641A531" w14:textId="77777777" w:rsidR="009D651E" w:rsidRDefault="009D651E">
      <w:pPr>
        <w:ind w:right="-720"/>
      </w:pPr>
    </w:p>
    <w:p w14:paraId="6F6B0E2F" w14:textId="77777777" w:rsidR="009D651E" w:rsidRDefault="009D651E">
      <w:pPr>
        <w:ind w:right="-720"/>
      </w:pPr>
    </w:p>
    <w:p w14:paraId="790C028E" w14:textId="77777777" w:rsidR="009D651E" w:rsidRDefault="00000000">
      <w:pPr>
        <w:ind w:right="-720"/>
        <w:jc w:val="center"/>
      </w:pPr>
      <w:r>
        <w:t>UNIVERSITY OF RHODE ISLAND</w:t>
      </w:r>
    </w:p>
    <w:p w14:paraId="5CCAE790" w14:textId="77777777" w:rsidR="009D651E" w:rsidRDefault="00000000">
      <w:pPr>
        <w:ind w:right="-720"/>
        <w:jc w:val="center"/>
        <w:sectPr w:rsidR="009D651E">
          <w:pgSz w:w="12240" w:h="15840"/>
          <w:pgMar w:top="1440" w:right="1440" w:bottom="1440" w:left="2160" w:header="0" w:footer="0" w:gutter="0"/>
          <w:pgNumType w:start="1"/>
          <w:cols w:space="720"/>
        </w:sectPr>
      </w:pPr>
      <w:r>
        <w:t>2023</w:t>
      </w:r>
    </w:p>
    <w:p w14:paraId="6F226164" w14:textId="77777777" w:rsidR="009D651E" w:rsidRDefault="009D651E">
      <w:pPr>
        <w:tabs>
          <w:tab w:val="left" w:pos="1071"/>
        </w:tabs>
      </w:pPr>
    </w:p>
    <w:p w14:paraId="14FF309E" w14:textId="77777777" w:rsidR="009D651E" w:rsidRDefault="009D651E"/>
    <w:p w14:paraId="1CF8D778" w14:textId="77777777" w:rsidR="009D651E" w:rsidRDefault="009D651E"/>
    <w:p w14:paraId="116EE7AB" w14:textId="77777777" w:rsidR="009D651E" w:rsidRDefault="00000000">
      <w:pPr>
        <w:pStyle w:val="Title"/>
        <w:rPr>
          <w:b/>
        </w:rPr>
      </w:pPr>
      <w:bookmarkStart w:id="0" w:name="_heading=h.gjdgxs" w:colFirst="0" w:colLast="0"/>
      <w:bookmarkEnd w:id="0"/>
      <w:r>
        <w:rPr>
          <w:b/>
        </w:rPr>
        <w:t>TABLE OF CONTENTS</w:t>
      </w:r>
    </w:p>
    <w:p w14:paraId="66BA5320" w14:textId="77777777" w:rsidR="009D651E" w:rsidRDefault="009D651E">
      <w:pPr>
        <w:pStyle w:val="Title"/>
      </w:pPr>
    </w:p>
    <w:p w14:paraId="1513E1D2" w14:textId="77777777" w:rsidR="009D651E" w:rsidRDefault="00000000">
      <w:pPr>
        <w:pStyle w:val="Title"/>
        <w:jc w:val="left"/>
        <w:rPr>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p>
    <w:sdt>
      <w:sdtPr>
        <w:id w:val="-661390442"/>
        <w:docPartObj>
          <w:docPartGallery w:val="Table of Contents"/>
          <w:docPartUnique/>
        </w:docPartObj>
      </w:sdtPr>
      <w:sdtContent>
        <w:p w14:paraId="36CAFE0C" w14:textId="77777777" w:rsidR="009D651E" w:rsidRDefault="00000000">
          <w:pPr>
            <w:pBdr>
              <w:top w:val="nil"/>
              <w:left w:val="nil"/>
              <w:bottom w:val="nil"/>
              <w:right w:val="nil"/>
              <w:between w:val="nil"/>
            </w:pBdr>
            <w:tabs>
              <w:tab w:val="right" w:pos="8342"/>
            </w:tabs>
            <w:spacing w:line="480" w:lineRule="auto"/>
            <w:ind w:left="360" w:hanging="360"/>
            <w:rPr>
              <w:rFonts w:ascii="Calibri" w:eastAsia="Calibri" w:hAnsi="Calibri" w:cs="Calibri"/>
              <w:color w:val="000000"/>
              <w:sz w:val="22"/>
              <w:szCs w:val="22"/>
            </w:rPr>
          </w:pPr>
          <w:r>
            <w:fldChar w:fldCharType="begin"/>
          </w:r>
          <w:r>
            <w:instrText xml:space="preserve"> TOC \h \u \z \t "Heading 1,1,Heading 2,2,Heading 3,3,"</w:instrText>
          </w:r>
          <w:r>
            <w:fldChar w:fldCharType="separate"/>
          </w:r>
          <w:hyperlink w:anchor="_heading=h.30j0zll">
            <w:r>
              <w:rPr>
                <w:rFonts w:eastAsia="Arial" w:cs="Arial"/>
                <w:color w:val="000000"/>
                <w:szCs w:val="24"/>
              </w:rPr>
              <w:t>CHAPTER 3</w:t>
            </w:r>
            <w:r>
              <w:rPr>
                <w:rFonts w:eastAsia="Arial" w:cs="Arial"/>
                <w:color w:val="000000"/>
                <w:szCs w:val="24"/>
              </w:rPr>
              <w:tab/>
              <w:t>4</w:t>
            </w:r>
          </w:hyperlink>
        </w:p>
        <w:p w14:paraId="2480D426" w14:textId="77777777" w:rsidR="009D651E" w:rsidRDefault="00000000">
          <w:pPr>
            <w:pBdr>
              <w:top w:val="nil"/>
              <w:left w:val="nil"/>
              <w:bottom w:val="nil"/>
              <w:right w:val="nil"/>
              <w:between w:val="nil"/>
            </w:pBdr>
            <w:tabs>
              <w:tab w:val="right" w:leader="dot" w:pos="8342"/>
            </w:tabs>
            <w:spacing w:after="100" w:line="276" w:lineRule="auto"/>
            <w:ind w:left="220"/>
            <w:rPr>
              <w:rFonts w:ascii="Calibri" w:eastAsia="Calibri" w:hAnsi="Calibri" w:cs="Calibri"/>
              <w:color w:val="000000"/>
              <w:sz w:val="22"/>
              <w:szCs w:val="22"/>
            </w:rPr>
          </w:pPr>
          <w:hyperlink w:anchor="_heading=h.1fob9te">
            <w:r>
              <w:rPr>
                <w:rFonts w:ascii="Calibri" w:eastAsia="Calibri" w:hAnsi="Calibri" w:cs="Calibri"/>
                <w:color w:val="000000"/>
                <w:sz w:val="22"/>
                <w:szCs w:val="22"/>
              </w:rPr>
              <w:t>Manuscript 2</w:t>
            </w:r>
            <w:r>
              <w:rPr>
                <w:rFonts w:ascii="Calibri" w:eastAsia="Calibri" w:hAnsi="Calibri" w:cs="Calibri"/>
                <w:color w:val="000000"/>
                <w:sz w:val="22"/>
                <w:szCs w:val="22"/>
              </w:rPr>
              <w:tab/>
              <w:t>4</w:t>
            </w:r>
          </w:hyperlink>
        </w:p>
        <w:p w14:paraId="7D577BB6" w14:textId="77777777" w:rsidR="009D651E" w:rsidRDefault="00000000">
          <w:pPr>
            <w:pBdr>
              <w:top w:val="nil"/>
              <w:left w:val="nil"/>
              <w:bottom w:val="nil"/>
              <w:right w:val="nil"/>
              <w:between w:val="nil"/>
            </w:pBdr>
            <w:tabs>
              <w:tab w:val="right" w:leader="dot" w:pos="8342"/>
            </w:tabs>
            <w:spacing w:after="100" w:line="276" w:lineRule="auto"/>
            <w:ind w:left="440"/>
            <w:rPr>
              <w:rFonts w:ascii="Calibri" w:eastAsia="Calibri" w:hAnsi="Calibri" w:cs="Calibri"/>
              <w:color w:val="000000"/>
              <w:sz w:val="22"/>
              <w:szCs w:val="22"/>
            </w:rPr>
          </w:pPr>
          <w:hyperlink w:anchor="_heading=h.3znysh7">
            <w:r>
              <w:rPr>
                <w:rFonts w:ascii="Calibri" w:eastAsia="Calibri" w:hAnsi="Calibri" w:cs="Calibri"/>
                <w:color w:val="000000"/>
                <w:sz w:val="22"/>
                <w:szCs w:val="22"/>
              </w:rPr>
              <w:t>Abstract</w:t>
            </w:r>
            <w:r>
              <w:rPr>
                <w:rFonts w:ascii="Calibri" w:eastAsia="Calibri" w:hAnsi="Calibri" w:cs="Calibri"/>
                <w:color w:val="000000"/>
                <w:sz w:val="22"/>
                <w:szCs w:val="22"/>
              </w:rPr>
              <w:tab/>
              <w:t>5</w:t>
            </w:r>
          </w:hyperlink>
        </w:p>
        <w:p w14:paraId="2031E104" w14:textId="77777777" w:rsidR="009D651E" w:rsidRDefault="00000000">
          <w:pPr>
            <w:pBdr>
              <w:top w:val="nil"/>
              <w:left w:val="nil"/>
              <w:bottom w:val="nil"/>
              <w:right w:val="nil"/>
              <w:between w:val="nil"/>
            </w:pBdr>
            <w:tabs>
              <w:tab w:val="right" w:leader="dot" w:pos="8342"/>
            </w:tabs>
            <w:spacing w:after="100" w:line="276" w:lineRule="auto"/>
            <w:ind w:left="440"/>
            <w:rPr>
              <w:rFonts w:ascii="Calibri" w:eastAsia="Calibri" w:hAnsi="Calibri" w:cs="Calibri"/>
              <w:color w:val="000000"/>
              <w:sz w:val="22"/>
              <w:szCs w:val="22"/>
            </w:rPr>
          </w:pPr>
          <w:hyperlink w:anchor="_heading=h.2et92p0">
            <w:r>
              <w:rPr>
                <w:rFonts w:ascii="Calibri" w:eastAsia="Calibri" w:hAnsi="Calibri" w:cs="Calibri"/>
                <w:color w:val="000000"/>
                <w:sz w:val="22"/>
                <w:szCs w:val="22"/>
              </w:rPr>
              <w:t>Importance</w:t>
            </w:r>
            <w:r>
              <w:rPr>
                <w:rFonts w:ascii="Calibri" w:eastAsia="Calibri" w:hAnsi="Calibri" w:cs="Calibri"/>
                <w:color w:val="000000"/>
                <w:sz w:val="22"/>
                <w:szCs w:val="22"/>
              </w:rPr>
              <w:tab/>
              <w:t>5</w:t>
            </w:r>
          </w:hyperlink>
        </w:p>
        <w:p w14:paraId="34921F82" w14:textId="77777777" w:rsidR="009D651E" w:rsidRDefault="00000000">
          <w:pPr>
            <w:pBdr>
              <w:top w:val="nil"/>
              <w:left w:val="nil"/>
              <w:bottom w:val="nil"/>
              <w:right w:val="nil"/>
              <w:between w:val="nil"/>
            </w:pBdr>
            <w:tabs>
              <w:tab w:val="right" w:leader="dot" w:pos="8342"/>
            </w:tabs>
            <w:spacing w:after="100" w:line="276" w:lineRule="auto"/>
            <w:ind w:left="440"/>
            <w:rPr>
              <w:rFonts w:ascii="Calibri" w:eastAsia="Calibri" w:hAnsi="Calibri" w:cs="Calibri"/>
              <w:color w:val="000000"/>
              <w:sz w:val="22"/>
              <w:szCs w:val="22"/>
            </w:rPr>
          </w:pPr>
          <w:hyperlink w:anchor="_heading=h.tyjcwt">
            <w:r>
              <w:rPr>
                <w:rFonts w:ascii="Calibri" w:eastAsia="Calibri" w:hAnsi="Calibri" w:cs="Calibri"/>
                <w:color w:val="000000"/>
                <w:sz w:val="22"/>
                <w:szCs w:val="22"/>
              </w:rPr>
              <w:t>Introduction</w:t>
            </w:r>
            <w:r>
              <w:rPr>
                <w:rFonts w:ascii="Calibri" w:eastAsia="Calibri" w:hAnsi="Calibri" w:cs="Calibri"/>
                <w:color w:val="000000"/>
                <w:sz w:val="22"/>
                <w:szCs w:val="22"/>
              </w:rPr>
              <w:tab/>
              <w:t>5</w:t>
            </w:r>
          </w:hyperlink>
        </w:p>
        <w:p w14:paraId="64CF9BE3" w14:textId="77777777" w:rsidR="009D651E" w:rsidRDefault="00000000">
          <w:pPr>
            <w:pBdr>
              <w:top w:val="nil"/>
              <w:left w:val="nil"/>
              <w:bottom w:val="nil"/>
              <w:right w:val="nil"/>
              <w:between w:val="nil"/>
            </w:pBdr>
            <w:tabs>
              <w:tab w:val="right" w:leader="dot" w:pos="8342"/>
            </w:tabs>
            <w:spacing w:after="100" w:line="276" w:lineRule="auto"/>
            <w:ind w:left="440"/>
            <w:rPr>
              <w:rFonts w:ascii="Calibri" w:eastAsia="Calibri" w:hAnsi="Calibri" w:cs="Calibri"/>
              <w:color w:val="000000"/>
              <w:sz w:val="22"/>
              <w:szCs w:val="22"/>
            </w:rPr>
          </w:pPr>
          <w:hyperlink w:anchor="_heading=h.3dy6vkm">
            <w:r>
              <w:rPr>
                <w:rFonts w:ascii="Calibri" w:eastAsia="Calibri" w:hAnsi="Calibri" w:cs="Calibri"/>
                <w:color w:val="000000"/>
                <w:sz w:val="22"/>
                <w:szCs w:val="22"/>
              </w:rPr>
              <w:t>Results</w:t>
            </w:r>
            <w:r>
              <w:rPr>
                <w:rFonts w:ascii="Calibri" w:eastAsia="Calibri" w:hAnsi="Calibri" w:cs="Calibri"/>
                <w:color w:val="000000"/>
                <w:sz w:val="22"/>
                <w:szCs w:val="22"/>
              </w:rPr>
              <w:tab/>
              <w:t>5</w:t>
            </w:r>
          </w:hyperlink>
        </w:p>
        <w:p w14:paraId="0B9C2F41" w14:textId="77777777" w:rsidR="009D651E" w:rsidRDefault="00000000">
          <w:pPr>
            <w:pBdr>
              <w:top w:val="nil"/>
              <w:left w:val="nil"/>
              <w:bottom w:val="nil"/>
              <w:right w:val="nil"/>
              <w:between w:val="nil"/>
            </w:pBdr>
            <w:tabs>
              <w:tab w:val="right" w:leader="dot" w:pos="8342"/>
            </w:tabs>
            <w:spacing w:after="100" w:line="276" w:lineRule="auto"/>
            <w:ind w:left="440"/>
            <w:rPr>
              <w:rFonts w:ascii="Calibri" w:eastAsia="Calibri" w:hAnsi="Calibri" w:cs="Calibri"/>
              <w:color w:val="000000"/>
              <w:sz w:val="22"/>
              <w:szCs w:val="22"/>
            </w:rPr>
          </w:pPr>
          <w:hyperlink w:anchor="_heading=h.1t3h5sf">
            <w:r>
              <w:rPr>
                <w:rFonts w:ascii="Calibri" w:eastAsia="Calibri" w:hAnsi="Calibri" w:cs="Calibri"/>
                <w:color w:val="000000"/>
                <w:sz w:val="22"/>
                <w:szCs w:val="22"/>
              </w:rPr>
              <w:t>Discussion</w:t>
            </w:r>
            <w:r>
              <w:rPr>
                <w:rFonts w:ascii="Calibri" w:eastAsia="Calibri" w:hAnsi="Calibri" w:cs="Calibri"/>
                <w:color w:val="000000"/>
                <w:sz w:val="22"/>
                <w:szCs w:val="22"/>
              </w:rPr>
              <w:tab/>
              <w:t>5</w:t>
            </w:r>
          </w:hyperlink>
        </w:p>
        <w:p w14:paraId="01CD97A6" w14:textId="77777777" w:rsidR="009D651E" w:rsidRDefault="00000000">
          <w:pPr>
            <w:pBdr>
              <w:top w:val="nil"/>
              <w:left w:val="nil"/>
              <w:bottom w:val="nil"/>
              <w:right w:val="nil"/>
              <w:between w:val="nil"/>
            </w:pBdr>
            <w:tabs>
              <w:tab w:val="right" w:leader="dot" w:pos="8342"/>
            </w:tabs>
            <w:spacing w:after="100" w:line="276" w:lineRule="auto"/>
            <w:ind w:left="440"/>
            <w:rPr>
              <w:rFonts w:ascii="Calibri" w:eastAsia="Calibri" w:hAnsi="Calibri" w:cs="Calibri"/>
              <w:color w:val="000000"/>
              <w:sz w:val="22"/>
              <w:szCs w:val="22"/>
            </w:rPr>
          </w:pPr>
          <w:hyperlink w:anchor="_heading=h.4d34og8">
            <w:r>
              <w:rPr>
                <w:rFonts w:ascii="Calibri" w:eastAsia="Calibri" w:hAnsi="Calibri" w:cs="Calibri"/>
                <w:color w:val="000000"/>
                <w:sz w:val="22"/>
                <w:szCs w:val="22"/>
              </w:rPr>
              <w:t>Materials and Methods</w:t>
            </w:r>
            <w:r>
              <w:rPr>
                <w:rFonts w:ascii="Calibri" w:eastAsia="Calibri" w:hAnsi="Calibri" w:cs="Calibri"/>
                <w:color w:val="000000"/>
                <w:sz w:val="22"/>
                <w:szCs w:val="22"/>
              </w:rPr>
              <w:tab/>
              <w:t>7</w:t>
            </w:r>
          </w:hyperlink>
        </w:p>
        <w:p w14:paraId="473F7646" w14:textId="77777777" w:rsidR="009D651E" w:rsidRDefault="00000000">
          <w:pPr>
            <w:pBdr>
              <w:top w:val="nil"/>
              <w:left w:val="nil"/>
              <w:bottom w:val="nil"/>
              <w:right w:val="nil"/>
              <w:between w:val="nil"/>
            </w:pBdr>
            <w:tabs>
              <w:tab w:val="right" w:leader="dot" w:pos="8342"/>
            </w:tabs>
            <w:spacing w:after="100" w:line="276" w:lineRule="auto"/>
            <w:ind w:left="220"/>
            <w:rPr>
              <w:rFonts w:ascii="Calibri" w:eastAsia="Calibri" w:hAnsi="Calibri" w:cs="Calibri"/>
              <w:color w:val="000000"/>
              <w:sz w:val="22"/>
              <w:szCs w:val="22"/>
            </w:rPr>
          </w:pPr>
          <w:hyperlink w:anchor="_heading=h.17dp8vu">
            <w:r>
              <w:rPr>
                <w:rFonts w:ascii="Calibri" w:eastAsia="Calibri" w:hAnsi="Calibri" w:cs="Calibri"/>
                <w:color w:val="000000"/>
                <w:sz w:val="22"/>
                <w:szCs w:val="22"/>
              </w:rPr>
              <w:t>REFERENCES</w:t>
            </w:r>
            <w:r>
              <w:rPr>
                <w:rFonts w:ascii="Calibri" w:eastAsia="Calibri" w:hAnsi="Calibri" w:cs="Calibri"/>
                <w:color w:val="000000"/>
                <w:sz w:val="22"/>
                <w:szCs w:val="22"/>
              </w:rPr>
              <w:tab/>
              <w:t>8</w:t>
            </w:r>
          </w:hyperlink>
        </w:p>
        <w:p w14:paraId="68A93365" w14:textId="77777777" w:rsidR="009D651E" w:rsidRDefault="00000000">
          <w:pPr>
            <w:pBdr>
              <w:top w:val="nil"/>
              <w:left w:val="nil"/>
              <w:bottom w:val="nil"/>
              <w:right w:val="nil"/>
              <w:between w:val="nil"/>
            </w:pBdr>
            <w:tabs>
              <w:tab w:val="right" w:pos="8342"/>
              <w:tab w:val="right" w:leader="dot" w:pos="8352"/>
            </w:tabs>
            <w:spacing w:line="480" w:lineRule="auto"/>
            <w:ind w:left="360" w:hanging="360"/>
            <w:rPr>
              <w:rFonts w:eastAsia="Arial" w:cs="Arial"/>
              <w:color w:val="000000"/>
              <w:szCs w:val="24"/>
            </w:rPr>
          </w:pPr>
          <w:r>
            <w:fldChar w:fldCharType="end"/>
          </w:r>
        </w:p>
      </w:sdtContent>
    </w:sdt>
    <w:p w14:paraId="3E25A3FA" w14:textId="77777777" w:rsidR="009D651E" w:rsidRDefault="00000000">
      <w:pPr>
        <w:spacing w:line="480" w:lineRule="auto"/>
        <w:rPr>
          <w:color w:val="000000"/>
        </w:rPr>
      </w:pPr>
      <w:r>
        <w:br w:type="page"/>
      </w:r>
    </w:p>
    <w:p w14:paraId="45107214" w14:textId="77777777" w:rsidR="009D651E" w:rsidRDefault="00000000">
      <w:pPr>
        <w:pStyle w:val="Heading1"/>
      </w:pPr>
      <w:bookmarkStart w:id="1" w:name="_heading=h.30j0zll" w:colFirst="0" w:colLast="0"/>
      <w:bookmarkEnd w:id="1"/>
      <w:r>
        <w:lastRenderedPageBreak/>
        <w:t>CHAPTER 3</w:t>
      </w:r>
    </w:p>
    <w:p w14:paraId="22F55550" w14:textId="77777777" w:rsidR="009D651E" w:rsidRDefault="009D651E">
      <w:pPr>
        <w:spacing w:line="480" w:lineRule="auto"/>
        <w:jc w:val="center"/>
      </w:pPr>
    </w:p>
    <w:p w14:paraId="38D6B50E" w14:textId="77777777" w:rsidR="009D651E" w:rsidRDefault="00000000">
      <w:pPr>
        <w:pStyle w:val="Heading2"/>
        <w:numPr>
          <w:ilvl w:val="1"/>
          <w:numId w:val="2"/>
        </w:numPr>
        <w:jc w:val="center"/>
      </w:pPr>
      <w:bookmarkStart w:id="2" w:name="_heading=h.1fob9te" w:colFirst="0" w:colLast="0"/>
      <w:bookmarkEnd w:id="2"/>
      <w:r>
        <w:t>Manuscript 2</w:t>
      </w:r>
    </w:p>
    <w:p w14:paraId="1FECAF82" w14:textId="77777777" w:rsidR="009D651E" w:rsidRDefault="009D651E">
      <w:pPr>
        <w:spacing w:line="480" w:lineRule="auto"/>
        <w:jc w:val="center"/>
        <w:rPr>
          <w:b/>
        </w:rPr>
      </w:pPr>
    </w:p>
    <w:p w14:paraId="5615C466" w14:textId="77777777" w:rsidR="009D651E" w:rsidRDefault="00000000">
      <w:pPr>
        <w:spacing w:line="480" w:lineRule="auto"/>
        <w:jc w:val="center"/>
      </w:pPr>
      <w:r>
        <w:rPr>
          <w:b/>
        </w:rPr>
        <w:t xml:space="preserve">Environmental screening of bS21-1 and bS21-3 gene regulation shows something in </w:t>
      </w:r>
      <w:r>
        <w:rPr>
          <w:b/>
          <w:i/>
        </w:rPr>
        <w:t>Francisella tularensis</w:t>
      </w:r>
    </w:p>
    <w:p w14:paraId="1C1C6369" w14:textId="77777777" w:rsidR="009D651E" w:rsidRDefault="009D651E">
      <w:pPr>
        <w:spacing w:line="480" w:lineRule="auto"/>
        <w:jc w:val="center"/>
      </w:pPr>
    </w:p>
    <w:p w14:paraId="081E6B45" w14:textId="77777777" w:rsidR="009D651E" w:rsidRDefault="00000000">
      <w:pPr>
        <w:spacing w:line="480" w:lineRule="auto"/>
        <w:jc w:val="center"/>
        <w:rPr>
          <w:i/>
        </w:rPr>
      </w:pPr>
      <w:r>
        <w:rPr>
          <w:i/>
        </w:rPr>
        <w:t>?????????????????</w:t>
      </w:r>
    </w:p>
    <w:p w14:paraId="1205EB6B" w14:textId="77777777" w:rsidR="009D651E" w:rsidRDefault="009D651E">
      <w:pPr>
        <w:jc w:val="center"/>
      </w:pPr>
    </w:p>
    <w:p w14:paraId="082527F0" w14:textId="77777777" w:rsidR="009D651E" w:rsidRDefault="009D651E">
      <w:pPr>
        <w:spacing w:line="480" w:lineRule="auto"/>
        <w:ind w:firstLine="450"/>
      </w:pPr>
    </w:p>
    <w:p w14:paraId="1479E148" w14:textId="77777777" w:rsidR="009D651E" w:rsidRDefault="00000000">
      <w:pPr>
        <w:spacing w:line="480" w:lineRule="auto"/>
        <w:jc w:val="center"/>
        <w:rPr>
          <w:color w:val="000000"/>
          <w:vertAlign w:val="superscript"/>
        </w:rPr>
      </w:pPr>
      <w:r>
        <w:rPr>
          <w:color w:val="000000"/>
        </w:rPr>
        <w:t>Sierra S. Schmidt</w:t>
      </w:r>
      <w:r>
        <w:rPr>
          <w:color w:val="000000"/>
          <w:vertAlign w:val="superscript"/>
        </w:rPr>
        <w:t>1</w:t>
      </w:r>
      <w:r>
        <w:rPr>
          <w:color w:val="000000"/>
        </w:rPr>
        <w:t>, Hannah S. Trautmann</w:t>
      </w:r>
      <w:r>
        <w:rPr>
          <w:color w:val="000000"/>
          <w:vertAlign w:val="superscript"/>
        </w:rPr>
        <w:t>1</w:t>
      </w:r>
      <w:r>
        <w:rPr>
          <w:color w:val="000000"/>
        </w:rPr>
        <w:t>, and Kathryn M. Ramsey</w:t>
      </w:r>
      <w:r>
        <w:rPr>
          <w:color w:val="000000"/>
          <w:vertAlign w:val="superscript"/>
        </w:rPr>
        <w:t>1,2,*</w:t>
      </w:r>
    </w:p>
    <w:p w14:paraId="22C43863" w14:textId="77777777" w:rsidR="009D651E" w:rsidRDefault="009D651E">
      <w:pPr>
        <w:spacing w:line="480" w:lineRule="auto"/>
        <w:jc w:val="center"/>
        <w:rPr>
          <w:color w:val="000000"/>
        </w:rPr>
      </w:pPr>
    </w:p>
    <w:p w14:paraId="5CB3EE67" w14:textId="77777777" w:rsidR="009D651E" w:rsidRDefault="00000000">
      <w:pPr>
        <w:spacing w:line="480" w:lineRule="auto"/>
        <w:jc w:val="center"/>
      </w:pPr>
      <w:r>
        <w:rPr>
          <w:vertAlign w:val="superscript"/>
        </w:rPr>
        <w:t>1</w:t>
      </w:r>
      <w:r>
        <w:t>Department of Cell and Molecular Biology, University of Rhode Island, Kingston, RI 02881, USA</w:t>
      </w:r>
    </w:p>
    <w:p w14:paraId="7DCDC759" w14:textId="77777777" w:rsidR="009D651E" w:rsidRDefault="00000000">
      <w:pPr>
        <w:spacing w:line="480" w:lineRule="auto"/>
        <w:ind w:firstLine="450"/>
        <w:jc w:val="center"/>
        <w:sectPr w:rsidR="009D651E">
          <w:headerReference w:type="default" r:id="rId8"/>
          <w:footerReference w:type="default" r:id="rId9"/>
          <w:pgSz w:w="12240" w:h="15840"/>
          <w:pgMar w:top="1440" w:right="1440" w:bottom="1440" w:left="2448" w:header="720" w:footer="720" w:gutter="0"/>
          <w:cols w:space="720"/>
        </w:sectPr>
      </w:pPr>
      <w:r>
        <w:rPr>
          <w:vertAlign w:val="superscript"/>
        </w:rPr>
        <w:t>2</w:t>
      </w:r>
      <w:r>
        <w:t>Department of Biomedical and Pharmaceutical Sciences, University of Rhode Island, Kingston, RI 02881, USA</w:t>
      </w:r>
    </w:p>
    <w:p w14:paraId="00362DA6" w14:textId="77777777" w:rsidR="009D651E" w:rsidRDefault="00000000">
      <w:pPr>
        <w:pStyle w:val="Heading3"/>
      </w:pPr>
      <w:bookmarkStart w:id="3" w:name="_heading=h.3znysh7" w:colFirst="0" w:colLast="0"/>
      <w:bookmarkStart w:id="4" w:name="_heading=h.3dy6vkm" w:colFirst="0" w:colLast="0"/>
      <w:bookmarkEnd w:id="3"/>
      <w:bookmarkEnd w:id="4"/>
      <w:r>
        <w:lastRenderedPageBreak/>
        <w:t>Results</w:t>
      </w:r>
    </w:p>
    <w:p w14:paraId="3981F1E0" w14:textId="77777777" w:rsidR="009D651E" w:rsidRDefault="00000000">
      <w:pPr>
        <w:spacing w:line="480" w:lineRule="auto"/>
      </w:pPr>
      <w:r>
        <w:rPr>
          <w:noProof/>
        </w:rPr>
        <w:drawing>
          <wp:inline distT="0" distB="0" distL="0" distR="0" wp14:anchorId="14F8650E" wp14:editId="18497E17">
            <wp:extent cx="5303520" cy="4137025"/>
            <wp:effectExtent l="0" t="0" r="0" b="0"/>
            <wp:docPr id="2147032660" name="image2.png" descr="A black background with white dots&#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A black background with white dots&#10;&#10;Description automatically generated"/>
                    <pic:cNvPicPr preferRelativeResize="0"/>
                  </pic:nvPicPr>
                  <pic:blipFill>
                    <a:blip r:embed="rId10"/>
                    <a:srcRect/>
                    <a:stretch>
                      <a:fillRect/>
                    </a:stretch>
                  </pic:blipFill>
                  <pic:spPr>
                    <a:xfrm>
                      <a:off x="0" y="0"/>
                      <a:ext cx="5303520" cy="4137025"/>
                    </a:xfrm>
                    <a:prstGeom prst="rect">
                      <a:avLst/>
                    </a:prstGeom>
                    <a:ln/>
                  </pic:spPr>
                </pic:pic>
              </a:graphicData>
            </a:graphic>
          </wp:inline>
        </w:drawing>
      </w:r>
    </w:p>
    <w:p w14:paraId="4928FD89" w14:textId="3C05D977" w:rsidR="009D651E" w:rsidRDefault="00000000">
      <w:r>
        <w:rPr>
          <w:b/>
        </w:rPr>
        <w:t xml:space="preserve">Figure 1. Various environmental conditions in MHB do not significantly affect transcript abundance of </w:t>
      </w:r>
      <w:r w:rsidR="0086472A" w:rsidRPr="0086472A">
        <w:rPr>
          <w:b/>
          <w:i/>
          <w:iCs/>
        </w:rPr>
        <w:t>rpsU1</w:t>
      </w:r>
      <w:r>
        <w:rPr>
          <w:b/>
          <w:i/>
        </w:rPr>
        <w:t>.</w:t>
      </w:r>
      <w:r>
        <w:rPr>
          <w:i/>
        </w:rPr>
        <w:t xml:space="preserve"> </w:t>
      </w:r>
      <w:r>
        <w:t xml:space="preserve">Relative fluorescence values (y-axis) versus environmental conditions (x-axis) of construct containing the leader sequence of </w:t>
      </w:r>
      <w:r w:rsidR="0086472A" w:rsidRPr="0086472A">
        <w:rPr>
          <w:i/>
          <w:iCs/>
        </w:rPr>
        <w:t>rpsU1</w:t>
      </w:r>
      <w:r>
        <w:rPr>
          <w:i/>
        </w:rPr>
        <w:t xml:space="preserve"> </w:t>
      </w:r>
      <w:r>
        <w:t xml:space="preserve">fused to </w:t>
      </w:r>
      <w:r>
        <w:rPr>
          <w:i/>
        </w:rPr>
        <w:t xml:space="preserve">gfp, </w:t>
      </w:r>
      <w:r w:rsidR="0086472A">
        <w:t>on a replicating plasmid</w:t>
      </w:r>
      <w:r>
        <w:t>.</w:t>
      </w:r>
      <w:r>
        <w:rPr>
          <w:i/>
        </w:rPr>
        <w:t xml:space="preserve"> </w:t>
      </w:r>
      <w:r>
        <w:t xml:space="preserve">(A) Reporter strains exposed to temperatures of 4°C or 42°C as compared to standard growth temperature, 37°C. (B) Reporter strains grown in various percent additional salt concentrations. (C) Reporter strains grown to log-phase and then exposed to various final concentrations of hydrogen peroxide. (D) Reporter strains grown to log-phase and then exposed to various doses of UV light exposure. Significance was determined by an average fold-change of 2 as compared to standard growth. </w:t>
      </w:r>
    </w:p>
    <w:p w14:paraId="394E3B97" w14:textId="77777777" w:rsidR="0086472A" w:rsidRDefault="0086472A" w:rsidP="007C11B0">
      <w:pPr>
        <w:spacing w:line="480" w:lineRule="auto"/>
        <w:rPr>
          <w:b/>
          <w:bCs/>
        </w:rPr>
      </w:pPr>
    </w:p>
    <w:p w14:paraId="17057A7C" w14:textId="3879F239" w:rsidR="007C11B0" w:rsidRPr="007C11B0" w:rsidRDefault="007C11B0" w:rsidP="007C11B0">
      <w:pPr>
        <w:spacing w:line="480" w:lineRule="auto"/>
        <w:rPr>
          <w:b/>
          <w:bCs/>
        </w:rPr>
      </w:pPr>
      <w:r w:rsidRPr="007C11B0">
        <w:rPr>
          <w:b/>
          <w:bCs/>
        </w:rPr>
        <w:t>bS21 homologs are not responsive to a number of conditions</w:t>
      </w:r>
    </w:p>
    <w:p w14:paraId="0E33B615" w14:textId="7B6C4790" w:rsidR="009D651E" w:rsidRDefault="00000000">
      <w:pPr>
        <w:spacing w:line="480" w:lineRule="auto"/>
        <w:ind w:firstLine="450"/>
      </w:pPr>
      <w:r>
        <w:t xml:space="preserve">In order to </w:t>
      </w:r>
      <w:r w:rsidR="0086472A">
        <w:t>efficiently</w:t>
      </w:r>
      <w:r>
        <w:t xml:space="preserve"> screen through several environments to assess the effect on expression of either bS21-1 or bS21-3, GFP reporter constructs were used as an approximation for changes in transcript abundance. These reporter </w:t>
      </w:r>
      <w:r>
        <w:lastRenderedPageBreak/>
        <w:t>constructs consisted of the</w:t>
      </w:r>
      <w:r w:rsidR="00224ADB">
        <w:t xml:space="preserve"> promoter, </w:t>
      </w:r>
      <w:r>
        <w:t>leader sequence</w:t>
      </w:r>
      <w:r w:rsidR="00224ADB">
        <w:t>, and</w:t>
      </w:r>
      <w:r>
        <w:t xml:space="preserve"> first six amino acids of </w:t>
      </w:r>
      <w:r w:rsidR="00224ADB">
        <w:t xml:space="preserve">either </w:t>
      </w:r>
      <w:r w:rsidR="00224ADB">
        <w:rPr>
          <w:i/>
          <w:iCs/>
        </w:rPr>
        <w:t xml:space="preserve">rpsU1 </w:t>
      </w:r>
      <w:r w:rsidR="00224ADB">
        <w:t xml:space="preserve">or </w:t>
      </w:r>
      <w:r w:rsidR="00224ADB">
        <w:rPr>
          <w:i/>
          <w:iCs/>
        </w:rPr>
        <w:t>rpsU3</w:t>
      </w:r>
      <w:r>
        <w:t>, fused to GFP. Th</w:t>
      </w:r>
      <w:r w:rsidR="00224ADB">
        <w:t>ese</w:t>
      </w:r>
      <w:r>
        <w:t xml:space="preserve"> </w:t>
      </w:r>
      <w:r w:rsidR="00224ADB">
        <w:t>constructs were created on a multi-copy plasmid and transformed into, otherwise, wild-type LVS cells</w:t>
      </w:r>
      <w:r>
        <w:t xml:space="preserve">. </w:t>
      </w:r>
    </w:p>
    <w:p w14:paraId="4280F2B8" w14:textId="77777777" w:rsidR="00224ADB" w:rsidRDefault="00000000">
      <w:pPr>
        <w:spacing w:line="480" w:lineRule="auto"/>
        <w:ind w:firstLine="450"/>
      </w:pPr>
      <w:r>
        <w:t>A number of environmental conditions were considered and tested with respect to both homologs</w:t>
      </w:r>
      <w:r w:rsidR="0086472A">
        <w:t xml:space="preserve">, across both the standard lab growth media, MHB, as well as Chamberlain’s Defined Media, CDM. Temperature, changes in salt concentration, </w:t>
      </w:r>
      <w:r w:rsidR="00224ADB">
        <w:t xml:space="preserve">change in media pH, </w:t>
      </w:r>
      <w:r w:rsidR="0086472A">
        <w:t xml:space="preserve">hydrogen peroxide stress, and UV stress were all tested in MHB. </w:t>
      </w:r>
      <w:r w:rsidR="00224ADB">
        <w:t xml:space="preserve">Meanwhile, differing concentrations of iron, magnesium, and spermine were tested in CDM. In addition, growth in CDM, on CHAH, and to stationary phase were also tested and compared to standard growth in MHB. </w:t>
      </w:r>
      <w:r w:rsidR="0086472A">
        <w:t xml:space="preserve">Significance was determined by there being at least a two-fold change in the test condition versus the standard condition. </w:t>
      </w:r>
    </w:p>
    <w:p w14:paraId="70DCF6BA" w14:textId="68ED6D5B" w:rsidR="009D651E" w:rsidRDefault="00224ADB">
      <w:pPr>
        <w:spacing w:line="480" w:lineRule="auto"/>
        <w:ind w:firstLine="450"/>
      </w:pPr>
      <w:r>
        <w:t xml:space="preserve">When the </w:t>
      </w:r>
      <w:r>
        <w:rPr>
          <w:i/>
          <w:iCs/>
        </w:rPr>
        <w:t xml:space="preserve">rpsU1 </w:t>
      </w:r>
      <w:r>
        <w:t xml:space="preserve">construct was grown to mid-log and then exposed to either heat or cold-shock, there was no change in </w:t>
      </w:r>
      <w:r>
        <w:rPr>
          <w:i/>
          <w:iCs/>
        </w:rPr>
        <w:t xml:space="preserve">rpsU1 </w:t>
      </w:r>
      <w:r>
        <w:t xml:space="preserve">abundance. When the </w:t>
      </w:r>
      <w:r>
        <w:rPr>
          <w:i/>
          <w:iCs/>
        </w:rPr>
        <w:t xml:space="preserve">rpsU1 </w:t>
      </w:r>
      <w:r>
        <w:t>construct was grown in different salt concentrations, there was no change in abundance. Exposure to either H</w:t>
      </w:r>
      <w:r>
        <w:rPr>
          <w:vertAlign w:val="subscript"/>
        </w:rPr>
        <w:t>2</w:t>
      </w:r>
      <w:r>
        <w:t>O</w:t>
      </w:r>
      <w:r>
        <w:rPr>
          <w:vertAlign w:val="subscript"/>
        </w:rPr>
        <w:t xml:space="preserve">2 </w:t>
      </w:r>
      <w:r>
        <w:t xml:space="preserve">or UV-stress as compared to standard growth in MHB did not change </w:t>
      </w:r>
      <w:r>
        <w:rPr>
          <w:i/>
          <w:iCs/>
        </w:rPr>
        <w:t xml:space="preserve">rpsU1 </w:t>
      </w:r>
      <w:r>
        <w:t xml:space="preserve">abundance, either </w:t>
      </w:r>
      <w:r w:rsidR="0086472A">
        <w:t xml:space="preserve">(Figure 1). </w:t>
      </w:r>
    </w:p>
    <w:p w14:paraId="356886ED" w14:textId="77777777" w:rsidR="0086472A" w:rsidRDefault="0086472A" w:rsidP="0086472A">
      <w:pPr>
        <w:spacing w:line="480" w:lineRule="auto"/>
      </w:pPr>
      <w:r>
        <w:rPr>
          <w:noProof/>
        </w:rPr>
        <w:lastRenderedPageBreak/>
        <w:drawing>
          <wp:inline distT="0" distB="0" distL="0" distR="0" wp14:anchorId="3ED4993F" wp14:editId="7D07D9F4">
            <wp:extent cx="5303520" cy="4587875"/>
            <wp:effectExtent l="0" t="0" r="0" b="0"/>
            <wp:docPr id="2147032661" name="image7.png" descr="A black background with white dots&#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png" descr="A black background with white dots&#10;&#10;Description automatically generated"/>
                    <pic:cNvPicPr preferRelativeResize="0"/>
                  </pic:nvPicPr>
                  <pic:blipFill>
                    <a:blip r:embed="rId11"/>
                    <a:srcRect/>
                    <a:stretch>
                      <a:fillRect/>
                    </a:stretch>
                  </pic:blipFill>
                  <pic:spPr>
                    <a:xfrm>
                      <a:off x="0" y="0"/>
                      <a:ext cx="5303520" cy="4587875"/>
                    </a:xfrm>
                    <a:prstGeom prst="rect">
                      <a:avLst/>
                    </a:prstGeom>
                    <a:ln/>
                  </pic:spPr>
                </pic:pic>
              </a:graphicData>
            </a:graphic>
          </wp:inline>
        </w:drawing>
      </w:r>
    </w:p>
    <w:p w14:paraId="0151B709" w14:textId="31415E34" w:rsidR="0086472A" w:rsidRDefault="0086472A" w:rsidP="0086472A">
      <w:pPr>
        <w:spacing w:after="240"/>
      </w:pPr>
      <w:r>
        <w:rPr>
          <w:b/>
        </w:rPr>
        <w:t xml:space="preserve">Figure 2. Various environmental conditions in CDM do not significantly affect transcript abundance of </w:t>
      </w:r>
      <w:r w:rsidRPr="0086472A">
        <w:rPr>
          <w:b/>
          <w:i/>
          <w:iCs/>
        </w:rPr>
        <w:t>rpsU1</w:t>
      </w:r>
      <w:r>
        <w:rPr>
          <w:b/>
          <w:i/>
        </w:rPr>
        <w:t>.</w:t>
      </w:r>
      <w:r>
        <w:rPr>
          <w:i/>
        </w:rPr>
        <w:t xml:space="preserve"> </w:t>
      </w:r>
      <w:r>
        <w:t xml:space="preserve">Relative fluorescence values (y-axis) versus environmental conditions (x-axis) of construct containing the leader sequence of </w:t>
      </w:r>
      <w:r w:rsidRPr="0086472A">
        <w:rPr>
          <w:i/>
          <w:iCs/>
        </w:rPr>
        <w:t>rpsU1</w:t>
      </w:r>
      <w:r>
        <w:rPr>
          <w:i/>
        </w:rPr>
        <w:t xml:space="preserve"> </w:t>
      </w:r>
      <w:r>
        <w:t xml:space="preserve">fused to </w:t>
      </w:r>
      <w:r>
        <w:rPr>
          <w:i/>
        </w:rPr>
        <w:t xml:space="preserve">gfp, </w:t>
      </w:r>
      <w:r>
        <w:t>on a replicating plasmid.</w:t>
      </w:r>
      <w:r>
        <w:rPr>
          <w:i/>
        </w:rPr>
        <w:t xml:space="preserve"> </w:t>
      </w:r>
      <w:r>
        <w:t>(A) Reporter strains grown in CDM with various increased concentrations of iron, compared to standard addition of iron. (B Reporter strains grown in CDM with various increased concentrations of magnesium, compared to standard addition of magnesium. (C) Reporter strains grown in CDM supplemented with 200µM spermine, compared to standard spermine concentration CDM Significance was determined by an average fold-change of 2 as compared to standard growth.</w:t>
      </w:r>
    </w:p>
    <w:p w14:paraId="2C755B6C" w14:textId="548AD32D" w:rsidR="0086472A" w:rsidRPr="00224ADB" w:rsidRDefault="00224ADB">
      <w:pPr>
        <w:spacing w:line="480" w:lineRule="auto"/>
        <w:ind w:firstLine="450"/>
      </w:pPr>
      <w:r>
        <w:t xml:space="preserve">When the </w:t>
      </w:r>
      <w:r>
        <w:rPr>
          <w:i/>
          <w:iCs/>
        </w:rPr>
        <w:t xml:space="preserve">rpsU1 </w:t>
      </w:r>
      <w:r>
        <w:t xml:space="preserve">reporter construct was grown in differing iron concentrations there was no significant difference in its abundance as compared to standard growth in CDM. When grown in varying concnetrations of magnesium, there was also no change in </w:t>
      </w:r>
      <w:r>
        <w:rPr>
          <w:i/>
          <w:iCs/>
        </w:rPr>
        <w:t xml:space="preserve">rpsU1 </w:t>
      </w:r>
      <w:r>
        <w:t xml:space="preserve">abundance. A </w:t>
      </w:r>
      <w:r>
        <w:lastRenderedPageBreak/>
        <w:t xml:space="preserve">concentration of 200 </w:t>
      </w:r>
      <w:r>
        <w:rPr>
          <w:rFonts w:cs="Arial"/>
        </w:rPr>
        <w:t>µ</w:t>
      </w:r>
      <w:r>
        <w:t xml:space="preserve">M spermine also did not significantly change the abundance of </w:t>
      </w:r>
      <w:r>
        <w:rPr>
          <w:i/>
          <w:iCs/>
        </w:rPr>
        <w:t xml:space="preserve">rpsU1 </w:t>
      </w:r>
      <w:r>
        <w:t xml:space="preserve">(Figure 2). </w:t>
      </w:r>
    </w:p>
    <w:p w14:paraId="0DCAF6BC" w14:textId="77777777" w:rsidR="0086472A" w:rsidRDefault="0086472A" w:rsidP="0086472A">
      <w:pPr>
        <w:spacing w:line="480" w:lineRule="auto"/>
      </w:pPr>
      <w:r>
        <w:rPr>
          <w:noProof/>
        </w:rPr>
        <w:drawing>
          <wp:inline distT="0" distB="0" distL="0" distR="0" wp14:anchorId="400E06FD" wp14:editId="752EFDA9">
            <wp:extent cx="5303520" cy="4327525"/>
            <wp:effectExtent l="0" t="0" r="0" b="0"/>
            <wp:docPr id="2147032662" name="image5.png" descr="A black background with white dots&#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5.png" descr="A black background with white dots&#10;&#10;Description automatically generated"/>
                    <pic:cNvPicPr preferRelativeResize="0"/>
                  </pic:nvPicPr>
                  <pic:blipFill>
                    <a:blip r:embed="rId12"/>
                    <a:srcRect/>
                    <a:stretch>
                      <a:fillRect/>
                    </a:stretch>
                  </pic:blipFill>
                  <pic:spPr>
                    <a:xfrm>
                      <a:off x="0" y="0"/>
                      <a:ext cx="5303520" cy="4327525"/>
                    </a:xfrm>
                    <a:prstGeom prst="rect">
                      <a:avLst/>
                    </a:prstGeom>
                    <a:ln/>
                  </pic:spPr>
                </pic:pic>
              </a:graphicData>
            </a:graphic>
          </wp:inline>
        </w:drawing>
      </w:r>
    </w:p>
    <w:p w14:paraId="4EA43D28" w14:textId="126D799C" w:rsidR="0086472A" w:rsidRDefault="0086472A" w:rsidP="0086472A">
      <w:pPr>
        <w:spacing w:after="240"/>
      </w:pPr>
      <w:r>
        <w:rPr>
          <w:b/>
        </w:rPr>
        <w:t xml:space="preserve">Figure </w:t>
      </w:r>
      <w:r>
        <w:rPr>
          <w:b/>
        </w:rPr>
        <w:t>3</w:t>
      </w:r>
      <w:r>
        <w:rPr>
          <w:b/>
        </w:rPr>
        <w:t xml:space="preserve">. Various environmental conditions in MHB do not significantly affect transcript abundance of </w:t>
      </w:r>
      <w:r w:rsidRPr="0086472A">
        <w:rPr>
          <w:b/>
          <w:i/>
          <w:iCs/>
        </w:rPr>
        <w:t>rpsU3</w:t>
      </w:r>
      <w:r>
        <w:rPr>
          <w:b/>
          <w:i/>
        </w:rPr>
        <w:t>.</w:t>
      </w:r>
      <w:r>
        <w:rPr>
          <w:i/>
        </w:rPr>
        <w:t xml:space="preserve"> </w:t>
      </w:r>
      <w:r>
        <w:t xml:space="preserve">Relative fluorescence values (y-axis) versus environmental conditions (x-axis) of construct containing the leader sequence of </w:t>
      </w:r>
      <w:r w:rsidRPr="0086472A">
        <w:rPr>
          <w:i/>
          <w:iCs/>
        </w:rPr>
        <w:t>rpsU3</w:t>
      </w:r>
      <w:r>
        <w:rPr>
          <w:i/>
        </w:rPr>
        <w:t xml:space="preserve"> </w:t>
      </w:r>
      <w:r>
        <w:t xml:space="preserve">fused to </w:t>
      </w:r>
      <w:r>
        <w:rPr>
          <w:i/>
        </w:rPr>
        <w:t xml:space="preserve">gfp, </w:t>
      </w:r>
      <w:r>
        <w:t>on a replicating plasmid.</w:t>
      </w:r>
      <w:r>
        <w:rPr>
          <w:i/>
        </w:rPr>
        <w:t xml:space="preserve"> </w:t>
      </w:r>
      <w:r>
        <w:t>(A) Reporter strains exposed to temperatures of 4°C or 42°C as compared to standard growth temperature, 37°C. (B) Reporter strains grown in various percent additional salt concentrations. (C) Reporter strains grown to log-phase and then exposed to various final concentrations of hydrogen peroxide. (D) Reporter strains grown to log-phase and then exposed to various doses of UV light exposure. Significance was determined by an average fold-change of 2 as compared to standard growth.</w:t>
      </w:r>
    </w:p>
    <w:p w14:paraId="0A5175FD" w14:textId="447955A2" w:rsidR="009D651E" w:rsidRDefault="0086472A" w:rsidP="0086472A">
      <w:pPr>
        <w:spacing w:line="480" w:lineRule="auto"/>
        <w:ind w:firstLine="450"/>
      </w:pPr>
      <w:r>
        <w:t xml:space="preserve">The same conditions </w:t>
      </w:r>
      <w:r w:rsidR="00224ADB">
        <w:t xml:space="preserve">were screened for changes in </w:t>
      </w:r>
      <w:r w:rsidR="00224ADB">
        <w:rPr>
          <w:i/>
          <w:iCs/>
        </w:rPr>
        <w:t xml:space="preserve">rpsU3 </w:t>
      </w:r>
      <w:r w:rsidR="00224ADB">
        <w:t xml:space="preserve">abundance. </w:t>
      </w:r>
      <w:r>
        <w:t xml:space="preserve">Again, significance was determined by at least a two-fold change between the averages of the test and standard conditions. And, again, there was no </w:t>
      </w:r>
      <w:r>
        <w:lastRenderedPageBreak/>
        <w:t xml:space="preserve">significant changes in the </w:t>
      </w:r>
      <w:r>
        <w:rPr>
          <w:i/>
          <w:iCs/>
        </w:rPr>
        <w:t xml:space="preserve">rpsU3 </w:t>
      </w:r>
      <w:r w:rsidR="00224ADB">
        <w:t>abundance</w:t>
      </w:r>
      <w:r>
        <w:t xml:space="preserve"> when cells were exposed to cold or </w:t>
      </w:r>
      <w:r w:rsidR="00224ADB">
        <w:t>heat-shock</w:t>
      </w:r>
      <w:r>
        <w:t>, higher additional salt concentrations, H</w:t>
      </w:r>
      <w:r>
        <w:rPr>
          <w:vertAlign w:val="subscript"/>
        </w:rPr>
        <w:t>2</w:t>
      </w:r>
      <w:r>
        <w:t>O</w:t>
      </w:r>
      <w:r>
        <w:rPr>
          <w:vertAlign w:val="subscript"/>
        </w:rPr>
        <w:t>2</w:t>
      </w:r>
      <w:r>
        <w:t xml:space="preserve"> or UV stress (Figure 3)</w:t>
      </w:r>
      <w:r w:rsidR="00224ADB">
        <w:t xml:space="preserve">. </w:t>
      </w:r>
      <w:r w:rsidR="00224ADB">
        <w:t xml:space="preserve">The conditions tested </w:t>
      </w:r>
      <w:r w:rsidR="00224ADB">
        <w:t xml:space="preserve">on </w:t>
      </w:r>
      <w:r w:rsidR="00224ADB">
        <w:rPr>
          <w:i/>
          <w:iCs/>
        </w:rPr>
        <w:t xml:space="preserve">rpsU3 </w:t>
      </w:r>
      <w:r w:rsidR="00224ADB">
        <w:t>in</w:t>
      </w:r>
      <w:r w:rsidR="00224ADB">
        <w:t xml:space="preserve"> CDM </w:t>
      </w:r>
      <w:r w:rsidR="00224ADB">
        <w:t>also showed</w:t>
      </w:r>
      <w:r w:rsidR="00224ADB">
        <w:t xml:space="preserve"> no significant change in </w:t>
      </w:r>
      <w:r w:rsidR="00224ADB">
        <w:rPr>
          <w:i/>
          <w:iCs/>
        </w:rPr>
        <w:t>rpsU</w:t>
      </w:r>
      <w:r w:rsidR="00224ADB">
        <w:rPr>
          <w:i/>
          <w:iCs/>
        </w:rPr>
        <w:t>3</w:t>
      </w:r>
      <w:r w:rsidR="00224ADB">
        <w:rPr>
          <w:i/>
          <w:iCs/>
        </w:rPr>
        <w:t xml:space="preserve"> </w:t>
      </w:r>
      <w:r w:rsidR="00224ADB">
        <w:t xml:space="preserve">reported fluorescence in response to </w:t>
      </w:r>
      <w:r w:rsidR="00224ADB">
        <w:t>changes in iron, magnesium, or spermine concentrations</w:t>
      </w:r>
      <w:r w:rsidR="00224ADB">
        <w:t xml:space="preserve"> (Figure </w:t>
      </w:r>
      <w:r w:rsidR="00224ADB">
        <w:t>4</w:t>
      </w:r>
      <w:r w:rsidR="00224ADB">
        <w:t>).</w:t>
      </w:r>
    </w:p>
    <w:p w14:paraId="72281DC9" w14:textId="77777777" w:rsidR="009D651E" w:rsidRDefault="00000000">
      <w:pPr>
        <w:spacing w:line="480" w:lineRule="auto"/>
      </w:pPr>
      <w:r>
        <w:rPr>
          <w:noProof/>
        </w:rPr>
        <w:drawing>
          <wp:inline distT="0" distB="0" distL="0" distR="0" wp14:anchorId="3446C7AA" wp14:editId="1A668C64">
            <wp:extent cx="5303520" cy="4505960"/>
            <wp:effectExtent l="0" t="0" r="0" b="0"/>
            <wp:docPr id="2147032664" name="image4.png" descr="A black background with white dots&#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4.png" descr="A black background with white dots&#10;&#10;Description automatically generated"/>
                    <pic:cNvPicPr preferRelativeResize="0"/>
                  </pic:nvPicPr>
                  <pic:blipFill>
                    <a:blip r:embed="rId13"/>
                    <a:srcRect/>
                    <a:stretch>
                      <a:fillRect/>
                    </a:stretch>
                  </pic:blipFill>
                  <pic:spPr>
                    <a:xfrm>
                      <a:off x="0" y="0"/>
                      <a:ext cx="5303520" cy="4505960"/>
                    </a:xfrm>
                    <a:prstGeom prst="rect">
                      <a:avLst/>
                    </a:prstGeom>
                    <a:ln/>
                  </pic:spPr>
                </pic:pic>
              </a:graphicData>
            </a:graphic>
          </wp:inline>
        </w:drawing>
      </w:r>
    </w:p>
    <w:p w14:paraId="080B8EAD" w14:textId="109C85D8" w:rsidR="009D651E" w:rsidRDefault="00000000">
      <w:pPr>
        <w:spacing w:after="240"/>
      </w:pPr>
      <w:r>
        <w:rPr>
          <w:b/>
        </w:rPr>
        <w:t xml:space="preserve">Figure 4. Various environmental conditions in CDM do not significantly affect transcript abundance of </w:t>
      </w:r>
      <w:r w:rsidR="0086472A" w:rsidRPr="0086472A">
        <w:rPr>
          <w:b/>
          <w:i/>
          <w:iCs/>
        </w:rPr>
        <w:t>rpsU3</w:t>
      </w:r>
      <w:r>
        <w:rPr>
          <w:b/>
          <w:i/>
        </w:rPr>
        <w:t>.</w:t>
      </w:r>
      <w:r>
        <w:rPr>
          <w:i/>
        </w:rPr>
        <w:t xml:space="preserve"> </w:t>
      </w:r>
      <w:r>
        <w:t xml:space="preserve">Relative fluorescence values (y-axis) versus environmental conditions (x-axis) of construct containing the leader sequence of </w:t>
      </w:r>
      <w:r w:rsidR="0086472A" w:rsidRPr="0086472A">
        <w:rPr>
          <w:i/>
          <w:iCs/>
        </w:rPr>
        <w:t>rpsU3</w:t>
      </w:r>
      <w:r>
        <w:rPr>
          <w:i/>
        </w:rPr>
        <w:t xml:space="preserve"> </w:t>
      </w:r>
      <w:r>
        <w:t xml:space="preserve">fused to </w:t>
      </w:r>
      <w:r>
        <w:rPr>
          <w:i/>
        </w:rPr>
        <w:t xml:space="preserve">gfp, </w:t>
      </w:r>
      <w:r w:rsidR="0086472A">
        <w:t>on a replicating plasmid</w:t>
      </w:r>
      <w:r>
        <w:t>.</w:t>
      </w:r>
      <w:r>
        <w:rPr>
          <w:i/>
        </w:rPr>
        <w:t xml:space="preserve"> </w:t>
      </w:r>
      <w:r>
        <w:t xml:space="preserve">(A) Reporter strains grown in CDM with various increased concentrations of iron, compared to standard addition of iron. (B Reporter strains grown in CDM with various increased concentrations of magnesium, compared to standard addition of magnesium. (C) Reporter strains grown in CDM supplemented with 200µM spermine, compared to standard spermine concentration CDM Significance </w:t>
      </w:r>
      <w:r>
        <w:lastRenderedPageBreak/>
        <w:t>was determined by an average fold-change of 2 as compared to standard growth.</w:t>
      </w:r>
    </w:p>
    <w:p w14:paraId="3E6D30A1" w14:textId="5167B00D" w:rsidR="009D651E" w:rsidRPr="00224ADB" w:rsidRDefault="00224ADB" w:rsidP="00224ADB">
      <w:pPr>
        <w:spacing w:line="480" w:lineRule="auto"/>
        <w:rPr>
          <w:b/>
          <w:bCs/>
        </w:rPr>
      </w:pPr>
      <w:r>
        <w:rPr>
          <w:b/>
          <w:bCs/>
        </w:rPr>
        <w:t xml:space="preserve">Growth in CDM or on CHAH changes bS21 homolog abundance </w:t>
      </w:r>
    </w:p>
    <w:p w14:paraId="3E1221D5" w14:textId="3482ED8D" w:rsidR="00224ADB" w:rsidRDefault="00224ADB">
      <w:pPr>
        <w:spacing w:line="480" w:lineRule="auto"/>
        <w:ind w:firstLine="450"/>
      </w:pPr>
      <w:r>
        <w:t xml:space="preserve">As mentioned above, the </w:t>
      </w:r>
      <w:r>
        <w:rPr>
          <w:i/>
          <w:iCs/>
        </w:rPr>
        <w:t xml:space="preserve">rpsU1 </w:t>
      </w:r>
      <w:r>
        <w:t xml:space="preserve">and </w:t>
      </w:r>
      <w:r>
        <w:rPr>
          <w:i/>
          <w:iCs/>
        </w:rPr>
        <w:t xml:space="preserve">rpsU3 </w:t>
      </w:r>
      <w:r>
        <w:t xml:space="preserve">reporter strains were also grown in CDM, on CHAH, and to stationary phase and compared to standard growth in MHB. The </w:t>
      </w:r>
      <w:r>
        <w:rPr>
          <w:i/>
          <w:iCs/>
        </w:rPr>
        <w:t xml:space="preserve">rpsU1 </w:t>
      </w:r>
      <w:r>
        <w:t xml:space="preserve">construct showed a significant increase in reported fluorescence under these conditions. Specifically, there was a </w:t>
      </w:r>
      <w:r w:rsidR="00E66AF0">
        <w:t xml:space="preserve">2.1-fold increase in </w:t>
      </w:r>
      <w:r w:rsidR="00E66AF0">
        <w:rPr>
          <w:i/>
          <w:iCs/>
        </w:rPr>
        <w:t xml:space="preserve">rpsU1 </w:t>
      </w:r>
      <w:r w:rsidR="00E66AF0">
        <w:t xml:space="preserve">when grown in CDM as compared to standard growth in MHB. This increase was larger when the cells were grown on solid CHAH and resuspended, showing a 3.3-fold increase in the average fluorescence. Alternatively, there was a 75% decrease in </w:t>
      </w:r>
      <w:r w:rsidR="00E66AF0">
        <w:rPr>
          <w:i/>
          <w:iCs/>
        </w:rPr>
        <w:t xml:space="preserve">rpsU1 </w:t>
      </w:r>
      <w:r w:rsidR="00E66AF0">
        <w:t xml:space="preserve">when grown to stationary phase rather than log phase (Figure 5). </w:t>
      </w:r>
    </w:p>
    <w:p w14:paraId="494A88DE" w14:textId="18FD1FFE" w:rsidR="00E66AF0" w:rsidRDefault="00E66AF0">
      <w:pPr>
        <w:spacing w:line="480" w:lineRule="auto"/>
        <w:ind w:firstLine="450"/>
      </w:pPr>
      <w:r>
        <w:t xml:space="preserve">In order to approximate changes in protein abundance of the bS21 homologs, different reporter constructs were used. These other reporters included </w:t>
      </w:r>
      <w:r>
        <w:rPr>
          <w:i/>
          <w:iCs/>
        </w:rPr>
        <w:t xml:space="preserve">lacZ </w:t>
      </w:r>
      <w:r>
        <w:t xml:space="preserve">fused to either </w:t>
      </w:r>
      <w:r>
        <w:rPr>
          <w:i/>
          <w:iCs/>
        </w:rPr>
        <w:t xml:space="preserve">rpsU1 </w:t>
      </w:r>
      <w:r>
        <w:t xml:space="preserve">or </w:t>
      </w:r>
      <w:r>
        <w:rPr>
          <w:i/>
          <w:iCs/>
        </w:rPr>
        <w:t xml:space="preserve">rpsU3 </w:t>
      </w:r>
      <w:r>
        <w:t xml:space="preserve">in the native locus. Thus, using these constructs, </w:t>
      </w:r>
      <w:r>
        <w:rPr>
          <w:rFonts w:ascii="Calibri Light" w:hAnsi="Calibri Light" w:cs="Calibri Light"/>
        </w:rPr>
        <w:t>β</w:t>
      </w:r>
      <w:r>
        <w:t xml:space="preserve">-galactosidase assays were utilized to assess </w:t>
      </w:r>
      <w:r>
        <w:rPr>
          <w:i/>
          <w:iCs/>
        </w:rPr>
        <w:t xml:space="preserve">lacZ </w:t>
      </w:r>
      <w:r>
        <w:t xml:space="preserve">activity. A Student’s t-test was used to assess significance of </w:t>
      </w:r>
      <w:r>
        <w:rPr>
          <w:i/>
          <w:iCs/>
        </w:rPr>
        <w:t xml:space="preserve">lacZ </w:t>
      </w:r>
      <w:r>
        <w:t xml:space="preserve">activity, specifically with a p-value &lt; 0.05. When assessed through this method, it was found that growth in both CDM and CHAH produced significantly increased </w:t>
      </w:r>
      <w:r>
        <w:rPr>
          <w:i/>
          <w:iCs/>
        </w:rPr>
        <w:t xml:space="preserve">rpsU1 </w:t>
      </w:r>
      <w:r>
        <w:t>as compared to MHB. However, the reported abundance of bS21-1</w:t>
      </w:r>
      <w:r>
        <w:rPr>
          <w:i/>
          <w:iCs/>
        </w:rPr>
        <w:t xml:space="preserve"> </w:t>
      </w:r>
      <w:r>
        <w:t xml:space="preserve">when grown in CDM was only 1.5-fold increased, as compared to the reported 2.1-fold increase in transcript abundance. The reported protein abundance of bS21-1 when grown on CHAH, as compared to MHB, was about 3.1-fold increased (Figure 5).  </w:t>
      </w:r>
    </w:p>
    <w:p w14:paraId="2A2BD5E7" w14:textId="77777777" w:rsidR="00E66AF0" w:rsidRDefault="00E66AF0" w:rsidP="00E66AF0">
      <w:pPr>
        <w:spacing w:line="480" w:lineRule="auto"/>
      </w:pPr>
      <w:r>
        <w:rPr>
          <w:noProof/>
        </w:rPr>
        <w:lastRenderedPageBreak/>
        <w:drawing>
          <wp:inline distT="0" distB="0" distL="0" distR="0" wp14:anchorId="69F42533" wp14:editId="564402D9">
            <wp:extent cx="5303520" cy="1382395"/>
            <wp:effectExtent l="0" t="0" r="0" b="0"/>
            <wp:docPr id="2147032663" name="image6.png" descr="A screenshot of a computer&#10;&#10;Description automatically generated"/>
            <wp:cNvGraphicFramePr/>
            <a:graphic xmlns:a="http://schemas.openxmlformats.org/drawingml/2006/main">
              <a:graphicData uri="http://schemas.openxmlformats.org/drawingml/2006/picture">
                <pic:pic xmlns:pic="http://schemas.openxmlformats.org/drawingml/2006/picture">
                  <pic:nvPicPr>
                    <pic:cNvPr id="2147032663" name="image6.png" descr="A screenshot of a computer&#10;&#10;Description automatically generated"/>
                    <pic:cNvPicPr preferRelativeResize="0"/>
                  </pic:nvPicPr>
                  <pic:blipFill>
                    <a:blip r:embed="rId14"/>
                    <a:srcRect/>
                    <a:stretch>
                      <a:fillRect/>
                    </a:stretch>
                  </pic:blipFill>
                  <pic:spPr>
                    <a:xfrm>
                      <a:off x="0" y="0"/>
                      <a:ext cx="5303520" cy="1382395"/>
                    </a:xfrm>
                    <a:prstGeom prst="rect">
                      <a:avLst/>
                    </a:prstGeom>
                    <a:ln/>
                  </pic:spPr>
                </pic:pic>
              </a:graphicData>
            </a:graphic>
          </wp:inline>
        </w:drawing>
      </w:r>
    </w:p>
    <w:p w14:paraId="0C40822F" w14:textId="0A2E1933" w:rsidR="00E66AF0" w:rsidRDefault="00E66AF0" w:rsidP="00E66AF0">
      <w:pPr>
        <w:spacing w:after="240"/>
      </w:pPr>
      <w:r>
        <w:rPr>
          <w:b/>
        </w:rPr>
        <w:t xml:space="preserve">Figure 5. Growth in CDM or on CHAH increases </w:t>
      </w:r>
      <w:r w:rsidRPr="0086472A">
        <w:rPr>
          <w:b/>
          <w:i/>
          <w:iCs/>
        </w:rPr>
        <w:t>rpsU1</w:t>
      </w:r>
      <w:r>
        <w:rPr>
          <w:b/>
          <w:i/>
        </w:rPr>
        <w:t xml:space="preserve"> </w:t>
      </w:r>
      <w:r>
        <w:rPr>
          <w:b/>
        </w:rPr>
        <w:t>transcript and protein</w:t>
      </w:r>
      <w:r>
        <w:rPr>
          <w:b/>
          <w:i/>
        </w:rPr>
        <w:t>.</w:t>
      </w:r>
      <w:r>
        <w:rPr>
          <w:i/>
        </w:rPr>
        <w:t xml:space="preserve"> </w:t>
      </w:r>
      <w:r>
        <w:t xml:space="preserve">Relative fluorescence values (y-axis) versus environmental conditions (x-axis) of construct containing the leader sequence of </w:t>
      </w:r>
      <w:r w:rsidRPr="0086472A">
        <w:rPr>
          <w:i/>
          <w:iCs/>
        </w:rPr>
        <w:t>rpsU1</w:t>
      </w:r>
      <w:r>
        <w:rPr>
          <w:i/>
        </w:rPr>
        <w:t xml:space="preserve"> </w:t>
      </w:r>
      <w:r>
        <w:t xml:space="preserve">fused to </w:t>
      </w:r>
      <w:r>
        <w:rPr>
          <w:i/>
        </w:rPr>
        <w:t xml:space="preserve">gfp, </w:t>
      </w:r>
      <w:r>
        <w:t>on a replicating plasmid, reporting changes in transcript abundance.</w:t>
      </w:r>
      <w:r>
        <w:rPr>
          <w:i/>
        </w:rPr>
        <w:t xml:space="preserve"> </w:t>
      </w:r>
      <w:r>
        <w:t xml:space="preserve">Or, </w:t>
      </w:r>
      <w:r>
        <w:rPr>
          <w:rFonts w:ascii="Calibri" w:eastAsia="Calibri" w:hAnsi="Calibri" w:cs="Calibri"/>
        </w:rPr>
        <w:t>β</w:t>
      </w:r>
      <w:r>
        <w:t xml:space="preserve">-galactosidase activity (Miller Units, y-axis) of reporter containing </w:t>
      </w:r>
      <w:r>
        <w:rPr>
          <w:i/>
        </w:rPr>
        <w:t xml:space="preserve">lacZ </w:t>
      </w:r>
      <w:r>
        <w:t xml:space="preserve">fused to </w:t>
      </w:r>
      <w:r w:rsidRPr="0086472A">
        <w:rPr>
          <w:i/>
          <w:iCs/>
        </w:rPr>
        <w:t>rpsU1</w:t>
      </w:r>
      <w:r>
        <w:rPr>
          <w:i/>
        </w:rPr>
        <w:t xml:space="preserve">, </w:t>
      </w:r>
      <w:r>
        <w:t xml:space="preserve">in the native locus, reporting protein abundance. (A) Fluorescent reporter strains grown in CDM or on CHAH, compared to strains grown in MHB. (B) </w:t>
      </w:r>
      <w:r>
        <w:rPr>
          <w:i/>
        </w:rPr>
        <w:t xml:space="preserve">lacZ </w:t>
      </w:r>
      <w:r>
        <w:t xml:space="preserve">activity of reporter strains grown in CDM, compared to strains grown in MHB. (C) </w:t>
      </w:r>
      <w:r>
        <w:rPr>
          <w:i/>
        </w:rPr>
        <w:t xml:space="preserve">lacZ </w:t>
      </w:r>
      <w:r>
        <w:t xml:space="preserve">activity of reporter strains grown on CHAH, compared to strains grown in MHB. *Significance was determined for fluorescence reporters by an average fold-change of 2 as compared to standard growth. Significance of </w:t>
      </w:r>
      <w:r>
        <w:rPr>
          <w:i/>
        </w:rPr>
        <w:t xml:space="preserve">lacZ </w:t>
      </w:r>
      <w:r>
        <w:t xml:space="preserve">activity was determined by p-value &lt; 0.05. </w:t>
      </w:r>
    </w:p>
    <w:p w14:paraId="37AB0448" w14:textId="45FB9DEB" w:rsidR="00E66AF0" w:rsidRDefault="00E66AF0">
      <w:pPr>
        <w:spacing w:line="480" w:lineRule="auto"/>
        <w:ind w:firstLine="450"/>
      </w:pPr>
      <w:r>
        <w:t xml:space="preserve">When screening </w:t>
      </w:r>
      <w:r>
        <w:rPr>
          <w:i/>
          <w:iCs/>
        </w:rPr>
        <w:t xml:space="preserve">rpsU3 </w:t>
      </w:r>
      <w:r>
        <w:t xml:space="preserve">and its subsequent protein, bS21-3, under these same conditions, there was an increase in both transcript and protein abundance. With specific regard to the reported transcript abundance, </w:t>
      </w:r>
      <w:r w:rsidR="00A239DF">
        <w:t xml:space="preserve">the fold-change did not meet our criteria for significance. There was only a 1.3-fold increase in </w:t>
      </w:r>
      <w:r w:rsidR="00A239DF">
        <w:rPr>
          <w:i/>
          <w:iCs/>
        </w:rPr>
        <w:t xml:space="preserve">rpsU3 </w:t>
      </w:r>
      <w:r w:rsidR="00A239DF">
        <w:t xml:space="preserve">transcript between cells grown in CDM versus MHB. Further, there was only a 1.6-fold increase in cells grown on CHAH versus grown in MHB. There was also no change in </w:t>
      </w:r>
      <w:r w:rsidR="00A239DF">
        <w:rPr>
          <w:i/>
          <w:iCs/>
        </w:rPr>
        <w:t xml:space="preserve">rpsU3 </w:t>
      </w:r>
      <w:r w:rsidR="00A239DF">
        <w:t xml:space="preserve">abundance between cultures grown to stationary phase versus log phase (Figure 6). </w:t>
      </w:r>
    </w:p>
    <w:p w14:paraId="786585D1" w14:textId="54F83CA6" w:rsidR="00A239DF" w:rsidRPr="00A239DF" w:rsidRDefault="00A239DF">
      <w:pPr>
        <w:spacing w:line="480" w:lineRule="auto"/>
        <w:ind w:firstLine="450"/>
      </w:pPr>
      <w:r>
        <w:t xml:space="preserve">Regardless that these fold-changes did not meet our criteria for significance, the protein abundance of bS21-3 under these conditions was tested alongside bS21-1. The change in bS21-3 protein abundance when grown in CDM was slightly higher than the fold-change in transcript, at a 1.5-fold increase. Further, when grown on CHAH, the protein abundance now </w:t>
      </w:r>
      <w:r>
        <w:lastRenderedPageBreak/>
        <w:t xml:space="preserve">showed a 2-fold increase, meeting our criteria for significance, beyond the statistical significance. </w:t>
      </w:r>
    </w:p>
    <w:p w14:paraId="108153E4" w14:textId="77777777" w:rsidR="009D651E" w:rsidRDefault="00000000">
      <w:pPr>
        <w:spacing w:line="480" w:lineRule="auto"/>
      </w:pPr>
      <w:r>
        <w:rPr>
          <w:noProof/>
        </w:rPr>
        <w:drawing>
          <wp:inline distT="0" distB="0" distL="0" distR="0" wp14:anchorId="48C0BB77" wp14:editId="24E4A9C3">
            <wp:extent cx="5303520" cy="1383665"/>
            <wp:effectExtent l="0" t="0" r="0" b="0"/>
            <wp:docPr id="2147032666" name="image1.png" descr="A screenshot of a computer&#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A screenshot of a computer&#10;&#10;Description automatically generated"/>
                    <pic:cNvPicPr preferRelativeResize="0"/>
                  </pic:nvPicPr>
                  <pic:blipFill>
                    <a:blip r:embed="rId15"/>
                    <a:srcRect/>
                    <a:stretch>
                      <a:fillRect/>
                    </a:stretch>
                  </pic:blipFill>
                  <pic:spPr>
                    <a:xfrm>
                      <a:off x="0" y="0"/>
                      <a:ext cx="5303520" cy="1383665"/>
                    </a:xfrm>
                    <a:prstGeom prst="rect">
                      <a:avLst/>
                    </a:prstGeom>
                    <a:ln/>
                  </pic:spPr>
                </pic:pic>
              </a:graphicData>
            </a:graphic>
          </wp:inline>
        </w:drawing>
      </w:r>
    </w:p>
    <w:p w14:paraId="4C7BFD49" w14:textId="633D3CE8" w:rsidR="009D651E" w:rsidRDefault="00000000">
      <w:pPr>
        <w:spacing w:after="240"/>
      </w:pPr>
      <w:r>
        <w:rPr>
          <w:b/>
        </w:rPr>
        <w:t xml:space="preserve">Figure 6. Growth in CDM or on CHAH increases </w:t>
      </w:r>
      <w:r w:rsidR="0086472A" w:rsidRPr="0086472A">
        <w:rPr>
          <w:b/>
          <w:i/>
          <w:iCs/>
        </w:rPr>
        <w:t>rpsU3</w:t>
      </w:r>
      <w:r>
        <w:rPr>
          <w:b/>
          <w:i/>
        </w:rPr>
        <w:t xml:space="preserve"> </w:t>
      </w:r>
      <w:r>
        <w:rPr>
          <w:b/>
        </w:rPr>
        <w:t>transcript and protein</w:t>
      </w:r>
      <w:r>
        <w:rPr>
          <w:b/>
          <w:i/>
        </w:rPr>
        <w:t>.</w:t>
      </w:r>
      <w:r>
        <w:rPr>
          <w:i/>
        </w:rPr>
        <w:t xml:space="preserve"> </w:t>
      </w:r>
      <w:r>
        <w:t xml:space="preserve">Relative fluorescence values (y-axis) versus environmental conditions (x-axis) of construct containing the leader sequence of </w:t>
      </w:r>
      <w:r w:rsidR="0086472A" w:rsidRPr="0086472A">
        <w:rPr>
          <w:i/>
          <w:iCs/>
        </w:rPr>
        <w:t>rpsU3</w:t>
      </w:r>
      <w:r>
        <w:rPr>
          <w:i/>
        </w:rPr>
        <w:t xml:space="preserve"> </w:t>
      </w:r>
      <w:r>
        <w:t xml:space="preserve">fused to </w:t>
      </w:r>
      <w:r>
        <w:rPr>
          <w:i/>
        </w:rPr>
        <w:t xml:space="preserve">gfp, </w:t>
      </w:r>
      <w:r w:rsidR="0086472A">
        <w:t>on a replicating plasmid</w:t>
      </w:r>
      <w:r>
        <w:t>, reporting changes in transcript abundance.</w:t>
      </w:r>
      <w:r>
        <w:rPr>
          <w:i/>
        </w:rPr>
        <w:t xml:space="preserve"> </w:t>
      </w:r>
      <w:r>
        <w:t xml:space="preserve">Or, </w:t>
      </w:r>
      <w:r>
        <w:rPr>
          <w:rFonts w:ascii="Calibri" w:eastAsia="Calibri" w:hAnsi="Calibri" w:cs="Calibri"/>
        </w:rPr>
        <w:t>β</w:t>
      </w:r>
      <w:r>
        <w:t xml:space="preserve">-galactosidase activity (Miller Units, y-axis) of reporter containing </w:t>
      </w:r>
      <w:r>
        <w:rPr>
          <w:i/>
        </w:rPr>
        <w:t xml:space="preserve">lacZ </w:t>
      </w:r>
      <w:r>
        <w:t xml:space="preserve">fused to </w:t>
      </w:r>
      <w:r w:rsidR="0086472A" w:rsidRPr="0086472A">
        <w:rPr>
          <w:i/>
          <w:iCs/>
        </w:rPr>
        <w:t>rpsU3</w:t>
      </w:r>
      <w:r>
        <w:rPr>
          <w:i/>
        </w:rPr>
        <w:t xml:space="preserve">, </w:t>
      </w:r>
      <w:r>
        <w:t xml:space="preserve">in the native locus, reporting protein abundance. (A) Fluorescent reporter strains grown in CDM or on CHAH, compared to strains grown in MHB. (B) </w:t>
      </w:r>
      <w:r>
        <w:rPr>
          <w:i/>
        </w:rPr>
        <w:t xml:space="preserve">lacZ </w:t>
      </w:r>
      <w:r>
        <w:t xml:space="preserve">activity of reporter strains grown in CDM, compared to strains grown in MHB. (C) </w:t>
      </w:r>
      <w:r>
        <w:rPr>
          <w:i/>
        </w:rPr>
        <w:t xml:space="preserve">lacZ </w:t>
      </w:r>
      <w:r>
        <w:t xml:space="preserve">activity of reporter strains grown on CHAH, compared to strains grown in MHB. *Significance was determined for fluorescence reporters by an average fold-change of 2 as compared to standard growth. Significance of </w:t>
      </w:r>
      <w:r>
        <w:rPr>
          <w:i/>
        </w:rPr>
        <w:t xml:space="preserve">lacZ </w:t>
      </w:r>
      <w:r>
        <w:t xml:space="preserve">activity was determined by p-value &lt; 0.05. </w:t>
      </w:r>
    </w:p>
    <w:p w14:paraId="50372F61" w14:textId="48524DC3" w:rsidR="00A239DF" w:rsidRPr="00A239DF" w:rsidRDefault="00A239DF" w:rsidP="00A239DF">
      <w:pPr>
        <w:spacing w:line="480" w:lineRule="auto"/>
        <w:rPr>
          <w:b/>
          <w:bCs/>
        </w:rPr>
      </w:pPr>
      <w:r w:rsidRPr="00A239DF">
        <w:rPr>
          <w:b/>
          <w:bCs/>
        </w:rPr>
        <w:t xml:space="preserve">Low pH increases </w:t>
      </w:r>
      <w:r w:rsidRPr="00A239DF">
        <w:rPr>
          <w:b/>
          <w:bCs/>
          <w:i/>
          <w:iCs/>
        </w:rPr>
        <w:t xml:space="preserve">rpsU1 </w:t>
      </w:r>
      <w:r w:rsidRPr="00A239DF">
        <w:rPr>
          <w:b/>
          <w:bCs/>
        </w:rPr>
        <w:t>transcript, but not protein abundance</w:t>
      </w:r>
    </w:p>
    <w:p w14:paraId="4BB0C0D8" w14:textId="18092F90" w:rsidR="009D651E" w:rsidRDefault="00966289">
      <w:pPr>
        <w:spacing w:line="480" w:lineRule="auto"/>
        <w:ind w:firstLine="450"/>
      </w:pPr>
      <w:r>
        <w:t xml:space="preserve">In order to assess the affects of pH on either </w:t>
      </w:r>
      <w:r>
        <w:rPr>
          <w:i/>
          <w:iCs/>
        </w:rPr>
        <w:t xml:space="preserve">rpsU1 </w:t>
      </w:r>
      <w:r>
        <w:t xml:space="preserve">or </w:t>
      </w:r>
      <w:r>
        <w:rPr>
          <w:i/>
          <w:iCs/>
        </w:rPr>
        <w:t xml:space="preserve">rpsU3 </w:t>
      </w:r>
      <w:r>
        <w:t xml:space="preserve">abundance, cells were grown to log-phase and then transferred into media at the appropriate pH. Assessing the fluorescence of these cells revealed increased </w:t>
      </w:r>
      <w:r>
        <w:rPr>
          <w:i/>
          <w:iCs/>
        </w:rPr>
        <w:t xml:space="preserve">rpsU1 </w:t>
      </w:r>
      <w:r>
        <w:t xml:space="preserve">transcript abundance at lower pH. Particularly, while several of the acidic pH values came close to our threshold of a 2-fold change, pH 3.5 was the only acidic culture to cross that mark, at a 2.3-fold increase. Additionally, pH 10 showed a significant decrease in transcript abundance at a decrease of 94% fluorescence (Figure 7). </w:t>
      </w:r>
    </w:p>
    <w:p w14:paraId="51F18E31" w14:textId="77777777" w:rsidR="00966289" w:rsidRDefault="00966289">
      <w:pPr>
        <w:spacing w:line="480" w:lineRule="auto"/>
        <w:ind w:firstLine="450"/>
      </w:pPr>
      <w:r>
        <w:t xml:space="preserve">Unlike the increase observed in transcript abundance at pH 3.5, there was no accordant increase in protein abundance of bS21-1. In fact, the protein </w:t>
      </w:r>
      <w:r>
        <w:lastRenderedPageBreak/>
        <w:t xml:space="preserve">abundance decreased to a level which may indicate that there is no </w:t>
      </w:r>
      <w:r>
        <w:rPr>
          <w:i/>
          <w:iCs/>
        </w:rPr>
        <w:t xml:space="preserve">lacZ </w:t>
      </w:r>
      <w:r>
        <w:t>activity. This was validated multiple times, ensuring that the low acidity was not interfering with the assay (Figure 7).</w:t>
      </w:r>
    </w:p>
    <w:p w14:paraId="5C5389A6" w14:textId="77777777" w:rsidR="00966289" w:rsidRDefault="00966289" w:rsidP="00966289">
      <w:pPr>
        <w:spacing w:line="480" w:lineRule="auto"/>
      </w:pPr>
      <w:r>
        <w:rPr>
          <w:noProof/>
        </w:rPr>
        <w:drawing>
          <wp:inline distT="0" distB="0" distL="0" distR="0" wp14:anchorId="72FBD627" wp14:editId="42538B82">
            <wp:extent cx="5303520" cy="1750695"/>
            <wp:effectExtent l="0" t="0" r="0" b="0"/>
            <wp:docPr id="2147032665" name="image3.png" descr="A black screen with white dots&#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png" descr="A black screen with white dots&#10;&#10;Description automatically generated"/>
                    <pic:cNvPicPr preferRelativeResize="0"/>
                  </pic:nvPicPr>
                  <pic:blipFill>
                    <a:blip r:embed="rId16"/>
                    <a:srcRect/>
                    <a:stretch>
                      <a:fillRect/>
                    </a:stretch>
                  </pic:blipFill>
                  <pic:spPr>
                    <a:xfrm>
                      <a:off x="0" y="0"/>
                      <a:ext cx="5303520" cy="1750695"/>
                    </a:xfrm>
                    <a:prstGeom prst="rect">
                      <a:avLst/>
                    </a:prstGeom>
                    <a:ln/>
                  </pic:spPr>
                </pic:pic>
              </a:graphicData>
            </a:graphic>
          </wp:inline>
        </w:drawing>
      </w:r>
    </w:p>
    <w:p w14:paraId="31142512" w14:textId="1A1BBF17" w:rsidR="00966289" w:rsidRDefault="00966289" w:rsidP="00966289">
      <w:pPr>
        <w:spacing w:after="240"/>
      </w:pPr>
      <w:r>
        <w:rPr>
          <w:b/>
        </w:rPr>
        <w:t xml:space="preserve">Figure 7. Growth in low pH increases </w:t>
      </w:r>
      <w:r w:rsidRPr="0086472A">
        <w:rPr>
          <w:b/>
          <w:i/>
          <w:iCs/>
        </w:rPr>
        <w:t>rpsU1</w:t>
      </w:r>
      <w:r>
        <w:rPr>
          <w:b/>
          <w:i/>
        </w:rPr>
        <w:t xml:space="preserve"> </w:t>
      </w:r>
      <w:r>
        <w:rPr>
          <w:b/>
        </w:rPr>
        <w:t>transcript, but decreases protein</w:t>
      </w:r>
      <w:r>
        <w:rPr>
          <w:b/>
          <w:i/>
        </w:rPr>
        <w:t>.</w:t>
      </w:r>
      <w:r>
        <w:rPr>
          <w:i/>
        </w:rPr>
        <w:t xml:space="preserve"> </w:t>
      </w:r>
      <w:r>
        <w:t xml:space="preserve">Relative fluorescence values (y-axis) versus environmental conditions (x-axis) of construct containing the leader sequence of </w:t>
      </w:r>
      <w:r w:rsidRPr="0086472A">
        <w:rPr>
          <w:i/>
          <w:iCs/>
        </w:rPr>
        <w:t>rpsU1</w:t>
      </w:r>
      <w:r>
        <w:rPr>
          <w:i/>
        </w:rPr>
        <w:t xml:space="preserve"> </w:t>
      </w:r>
      <w:r>
        <w:t xml:space="preserve">fused to </w:t>
      </w:r>
      <w:r>
        <w:rPr>
          <w:i/>
        </w:rPr>
        <w:t xml:space="preserve">gfp, </w:t>
      </w:r>
      <w:r>
        <w:t>on a replicating plasmid, reporting changes in transcript abundance.</w:t>
      </w:r>
      <w:r>
        <w:rPr>
          <w:i/>
        </w:rPr>
        <w:t xml:space="preserve"> </w:t>
      </w:r>
      <w:r>
        <w:t xml:space="preserve">Or, </w:t>
      </w:r>
      <w:r>
        <w:rPr>
          <w:rFonts w:ascii="Calibri" w:eastAsia="Calibri" w:hAnsi="Calibri" w:cs="Calibri"/>
        </w:rPr>
        <w:t>β</w:t>
      </w:r>
      <w:r>
        <w:t xml:space="preserve">-galactosidase activity (Miller Units, y-axis) of reporter containing </w:t>
      </w:r>
      <w:r>
        <w:rPr>
          <w:i/>
        </w:rPr>
        <w:t xml:space="preserve">lacZ </w:t>
      </w:r>
      <w:r>
        <w:t xml:space="preserve">fused to </w:t>
      </w:r>
      <w:r w:rsidRPr="0086472A">
        <w:rPr>
          <w:i/>
          <w:iCs/>
        </w:rPr>
        <w:t>rpsU1</w:t>
      </w:r>
      <w:r>
        <w:rPr>
          <w:i/>
        </w:rPr>
        <w:t xml:space="preserve">, </w:t>
      </w:r>
      <w:r>
        <w:t xml:space="preserve">in the native locus, reporting protein abundance. (A) Fluorescent reporter strains grown to mid-log and then transferred to pH’d CDM, compared to strains grown in MHB. (B) </w:t>
      </w:r>
      <w:r>
        <w:rPr>
          <w:i/>
        </w:rPr>
        <w:t xml:space="preserve">lacZ </w:t>
      </w:r>
      <w:r>
        <w:t xml:space="preserve">activity of reporter strains grown to mid-log then transferred to CDM pH 3.5, compared to strains grown in standard pH CDM. *Significance was determined for fluorescence reporters by an average fold-change of 2 as compared to standard growth. Significance of </w:t>
      </w:r>
      <w:r>
        <w:rPr>
          <w:i/>
        </w:rPr>
        <w:t xml:space="preserve">lacZ </w:t>
      </w:r>
      <w:r>
        <w:t xml:space="preserve">activity was determined by p-value &lt; 0.05. </w:t>
      </w:r>
    </w:p>
    <w:p w14:paraId="44796FE9" w14:textId="049C974F" w:rsidR="00966289" w:rsidRPr="00466366" w:rsidRDefault="00966289">
      <w:pPr>
        <w:spacing w:line="480" w:lineRule="auto"/>
        <w:ind w:firstLine="450"/>
      </w:pPr>
      <w:r>
        <w:t xml:space="preserve">In contrast, the transcript abundance of </w:t>
      </w:r>
      <w:r>
        <w:rPr>
          <w:i/>
          <w:iCs/>
        </w:rPr>
        <w:t xml:space="preserve">rpsU3 </w:t>
      </w:r>
      <w:r>
        <w:t xml:space="preserve">did not seem to strongly react to changes in pH, whether acidic or basic. Only at pH 2.75 was there a significant change, at a decrease of </w:t>
      </w:r>
      <w:r w:rsidR="00466366">
        <w:t xml:space="preserve">65% fluorescence. Similar to the protein abundance observed at low pH of bS21-1, bS21-3 shows virtually no </w:t>
      </w:r>
      <w:r w:rsidR="00466366">
        <w:rPr>
          <w:i/>
          <w:iCs/>
        </w:rPr>
        <w:t xml:space="preserve">lacZ </w:t>
      </w:r>
      <w:r w:rsidR="00466366">
        <w:t xml:space="preserve">activity at pH 3.5 (Figure 8). </w:t>
      </w:r>
    </w:p>
    <w:p w14:paraId="533D00E5" w14:textId="77777777" w:rsidR="009D651E" w:rsidRDefault="00000000">
      <w:pPr>
        <w:spacing w:line="480" w:lineRule="auto"/>
      </w:pPr>
      <w:r>
        <w:rPr>
          <w:noProof/>
        </w:rPr>
        <w:lastRenderedPageBreak/>
        <w:drawing>
          <wp:inline distT="0" distB="0" distL="0" distR="0" wp14:anchorId="4D7941A8" wp14:editId="3FD8B6D4">
            <wp:extent cx="5303520" cy="1918335"/>
            <wp:effectExtent l="0" t="0" r="0" b="0"/>
            <wp:docPr id="2147032667"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7"/>
                    <a:srcRect/>
                    <a:stretch>
                      <a:fillRect/>
                    </a:stretch>
                  </pic:blipFill>
                  <pic:spPr>
                    <a:xfrm>
                      <a:off x="0" y="0"/>
                      <a:ext cx="5303520" cy="1918335"/>
                    </a:xfrm>
                    <a:prstGeom prst="rect">
                      <a:avLst/>
                    </a:prstGeom>
                    <a:ln/>
                  </pic:spPr>
                </pic:pic>
              </a:graphicData>
            </a:graphic>
          </wp:inline>
        </w:drawing>
      </w:r>
    </w:p>
    <w:p w14:paraId="2BE100D5" w14:textId="77934F93" w:rsidR="009D651E" w:rsidRDefault="00000000" w:rsidP="00453171">
      <w:pPr>
        <w:spacing w:after="240"/>
        <w:sectPr w:rsidR="009D651E">
          <w:headerReference w:type="default" r:id="rId18"/>
          <w:footerReference w:type="default" r:id="rId19"/>
          <w:pgSz w:w="12240" w:h="15840"/>
          <w:pgMar w:top="1440" w:right="1440" w:bottom="1440" w:left="2448" w:header="720" w:footer="720" w:gutter="0"/>
          <w:cols w:space="720"/>
        </w:sectPr>
      </w:pPr>
      <w:r>
        <w:rPr>
          <w:b/>
        </w:rPr>
        <w:t xml:space="preserve">Figure 8. Growth in low pH either does not affect or lowers </w:t>
      </w:r>
      <w:r w:rsidR="0086472A" w:rsidRPr="0086472A">
        <w:rPr>
          <w:b/>
          <w:i/>
          <w:iCs/>
        </w:rPr>
        <w:t>rpsU3</w:t>
      </w:r>
      <w:r>
        <w:rPr>
          <w:b/>
          <w:i/>
        </w:rPr>
        <w:t xml:space="preserve"> </w:t>
      </w:r>
      <w:r>
        <w:rPr>
          <w:b/>
        </w:rPr>
        <w:t>transcript, and decreases protein</w:t>
      </w:r>
      <w:r>
        <w:rPr>
          <w:b/>
          <w:i/>
        </w:rPr>
        <w:t>.</w:t>
      </w:r>
      <w:r>
        <w:rPr>
          <w:i/>
        </w:rPr>
        <w:t xml:space="preserve"> </w:t>
      </w:r>
      <w:r>
        <w:t xml:space="preserve">Relative fluorescence values (y-axis) versus environmental conditions (x-axis) of construct containing the leader sequence of </w:t>
      </w:r>
      <w:r w:rsidR="0086472A" w:rsidRPr="0086472A">
        <w:rPr>
          <w:i/>
          <w:iCs/>
        </w:rPr>
        <w:t>rpsU3</w:t>
      </w:r>
      <w:r>
        <w:rPr>
          <w:i/>
        </w:rPr>
        <w:t xml:space="preserve"> </w:t>
      </w:r>
      <w:r>
        <w:t xml:space="preserve">fused to </w:t>
      </w:r>
      <w:r>
        <w:rPr>
          <w:i/>
        </w:rPr>
        <w:t xml:space="preserve">gfp, </w:t>
      </w:r>
      <w:r w:rsidR="0086472A">
        <w:t>on a replicating plasmid</w:t>
      </w:r>
      <w:r>
        <w:t>, reporting changes in transcript abundance.</w:t>
      </w:r>
      <w:r>
        <w:rPr>
          <w:i/>
        </w:rPr>
        <w:t xml:space="preserve"> </w:t>
      </w:r>
      <w:r>
        <w:t xml:space="preserve">Or, </w:t>
      </w:r>
      <w:r>
        <w:rPr>
          <w:rFonts w:ascii="Calibri" w:eastAsia="Calibri" w:hAnsi="Calibri" w:cs="Calibri"/>
        </w:rPr>
        <w:t>β</w:t>
      </w:r>
      <w:r>
        <w:t xml:space="preserve">-galactosidase activity (Miller Units, y-axis) of reporter containing </w:t>
      </w:r>
      <w:r>
        <w:rPr>
          <w:i/>
        </w:rPr>
        <w:t xml:space="preserve">lacZ </w:t>
      </w:r>
      <w:r>
        <w:t xml:space="preserve">fused to </w:t>
      </w:r>
      <w:r w:rsidR="0086472A" w:rsidRPr="0086472A">
        <w:rPr>
          <w:i/>
          <w:iCs/>
        </w:rPr>
        <w:t>rpsU3</w:t>
      </w:r>
      <w:r>
        <w:rPr>
          <w:i/>
        </w:rPr>
        <w:t xml:space="preserve">, </w:t>
      </w:r>
      <w:r>
        <w:t xml:space="preserve">in the native locus, reporting protein abundance. (A) Fluorescent reporter strains grown to mid-log and then transferred to pH’d CDM, compared to strains grown in MHB. (B) </w:t>
      </w:r>
      <w:r>
        <w:rPr>
          <w:i/>
        </w:rPr>
        <w:t xml:space="preserve">lacZ </w:t>
      </w:r>
      <w:r>
        <w:t xml:space="preserve">activity of reporter strains grown to mid-log then transferred to CDM pH 3.5, compared to strains grown in standard pH CDM. *Significance was determined for fluorescence reporters by an average fold-change of 2 as compared to standard growth. Significance of </w:t>
      </w:r>
      <w:r>
        <w:rPr>
          <w:i/>
        </w:rPr>
        <w:t xml:space="preserve">lacZ </w:t>
      </w:r>
      <w:r>
        <w:t xml:space="preserve">activity was determined by p-value &lt; 0.05. </w:t>
      </w:r>
      <w:bookmarkStart w:id="5" w:name="_heading=h.1t3h5sf" w:colFirst="0" w:colLast="0"/>
      <w:bookmarkEnd w:id="5"/>
      <w:r>
        <w:br w:type="page"/>
      </w:r>
    </w:p>
    <w:p w14:paraId="71E9B914" w14:textId="77777777" w:rsidR="009D651E" w:rsidRDefault="00000000">
      <w:pPr>
        <w:pStyle w:val="Heading3"/>
      </w:pPr>
      <w:bookmarkStart w:id="6" w:name="_heading=h.4d34og8" w:colFirst="0" w:colLast="0"/>
      <w:bookmarkEnd w:id="6"/>
      <w:r>
        <w:lastRenderedPageBreak/>
        <w:t>Materials and Methods</w:t>
      </w:r>
    </w:p>
    <w:p w14:paraId="2E6E1BF8" w14:textId="77777777" w:rsidR="009D651E" w:rsidRDefault="00000000">
      <w:pPr>
        <w:spacing w:line="480" w:lineRule="auto"/>
        <w:rPr>
          <w:i/>
        </w:rPr>
      </w:pPr>
      <w:r>
        <w:rPr>
          <w:i/>
        </w:rPr>
        <w:t>Bacterial Strains and Growth Conditions</w:t>
      </w:r>
    </w:p>
    <w:p w14:paraId="5133BB8E" w14:textId="77777777" w:rsidR="009D651E" w:rsidRDefault="00000000">
      <w:pPr>
        <w:spacing w:line="480" w:lineRule="auto"/>
        <w:ind w:firstLine="450"/>
      </w:pPr>
      <w:r>
        <w:t xml:space="preserve">Under standard or control growth, strains were grown as follows. </w:t>
      </w:r>
      <w:r>
        <w:rPr>
          <w:i/>
        </w:rPr>
        <w:t xml:space="preserve">F. tularensis </w:t>
      </w:r>
      <w:r>
        <w:t xml:space="preserve">subsp. </w:t>
      </w:r>
      <w:r>
        <w:rPr>
          <w:i/>
        </w:rPr>
        <w:t xml:space="preserve">holarctica </w:t>
      </w:r>
      <w:r>
        <w:t xml:space="preserve">LVS was grown in Mueller Hinton Broth (MHB), supplemented with  0.025% iron pyrophosphate, 0.1% glucose, and 2% Isovitalex at 37°C, for standard growth conditions in liquid media. Otherwise, it was grown in Chamberlain’s Defined Media, CDM (Chamberlain, 1965). For solid media growth, LVS was grown on cysteine heart agar plates containing 1% hemoglobin (CHAH) at 37°C. The selective antibiotic kanamycin (kan) was used to maintain plasmids in </w:t>
      </w:r>
      <w:r>
        <w:rPr>
          <w:i/>
        </w:rPr>
        <w:t>F. tularensis</w:t>
      </w:r>
      <w:r>
        <w:t xml:space="preserve"> LVS at 5 µg/m. </w:t>
      </w:r>
    </w:p>
    <w:p w14:paraId="48AF14D8" w14:textId="77777777" w:rsidR="009D651E" w:rsidRDefault="00000000">
      <w:pPr>
        <w:spacing w:line="480" w:lineRule="auto"/>
        <w:rPr>
          <w:i/>
        </w:rPr>
      </w:pPr>
      <w:r>
        <w:rPr>
          <w:i/>
        </w:rPr>
        <w:t>Strains</w:t>
      </w:r>
    </w:p>
    <w:p w14:paraId="7FBF8FA3" w14:textId="7A4A0B6C" w:rsidR="009D651E" w:rsidRDefault="00000000">
      <w:pPr>
        <w:spacing w:line="480" w:lineRule="auto"/>
        <w:ind w:firstLine="450"/>
      </w:pPr>
      <w:r>
        <w:t xml:space="preserve">Four strains of </w:t>
      </w:r>
      <w:r>
        <w:rPr>
          <w:i/>
        </w:rPr>
        <w:t xml:space="preserve">F. tularensis </w:t>
      </w:r>
      <w:r>
        <w:t xml:space="preserve">subsp. </w:t>
      </w:r>
      <w:r>
        <w:rPr>
          <w:i/>
        </w:rPr>
        <w:t xml:space="preserve">holarctica </w:t>
      </w:r>
      <w:r>
        <w:t xml:space="preserve">LVS were used for the screening of </w:t>
      </w:r>
      <w:r w:rsidR="0086472A" w:rsidRPr="0086472A">
        <w:rPr>
          <w:i/>
          <w:iCs/>
        </w:rPr>
        <w:t>rpsU1</w:t>
      </w:r>
      <w:r>
        <w:rPr>
          <w:i/>
        </w:rPr>
        <w:t xml:space="preserve"> </w:t>
      </w:r>
      <w:r>
        <w:t xml:space="preserve">and </w:t>
      </w:r>
      <w:r w:rsidR="0086472A" w:rsidRPr="0086472A">
        <w:rPr>
          <w:i/>
          <w:iCs/>
        </w:rPr>
        <w:t>rpsU3</w:t>
      </w:r>
      <w:r>
        <w:rPr>
          <w:i/>
        </w:rPr>
        <w:t xml:space="preserve"> </w:t>
      </w:r>
      <w:r>
        <w:t>environmental conditions. For use in the GFP assays, strains KRLVS192 and KRLVS193 were used. The genotypes of these strains were LVS pF-P</w:t>
      </w:r>
      <w:r w:rsidR="0086472A" w:rsidRPr="0086472A">
        <w:rPr>
          <w:i/>
          <w:iCs/>
        </w:rPr>
        <w:t>rpsU1</w:t>
      </w:r>
      <w:r>
        <w:t>-GFP and LVS pF-P</w:t>
      </w:r>
      <w:r w:rsidR="0086472A" w:rsidRPr="0086472A">
        <w:rPr>
          <w:i/>
          <w:iCs/>
        </w:rPr>
        <w:t>rpsU3</w:t>
      </w:r>
      <w:r>
        <w:t xml:space="preserve">-GFP, respectively. These were previously created by electroporating the replicative pF-based plasmids containing the promoter regions of either </w:t>
      </w:r>
      <w:r w:rsidR="0086472A" w:rsidRPr="0086472A">
        <w:rPr>
          <w:i/>
          <w:iCs/>
        </w:rPr>
        <w:t>rpsU1</w:t>
      </w:r>
      <w:r>
        <w:rPr>
          <w:i/>
        </w:rPr>
        <w:t xml:space="preserve">/cspC </w:t>
      </w:r>
      <w:r>
        <w:t xml:space="preserve">or </w:t>
      </w:r>
      <w:r w:rsidR="0086472A" w:rsidRPr="0086472A">
        <w:rPr>
          <w:i/>
          <w:iCs/>
        </w:rPr>
        <w:t>rpsU3</w:t>
      </w:r>
      <w:r>
        <w:rPr>
          <w:i/>
        </w:rPr>
        <w:t xml:space="preserve"> </w:t>
      </w:r>
      <w:r>
        <w:t>to GFP. The plasmids used were pKR153 (pF-P</w:t>
      </w:r>
      <w:r w:rsidR="0086472A" w:rsidRPr="0086472A">
        <w:rPr>
          <w:i/>
          <w:iCs/>
        </w:rPr>
        <w:t>rpsU1</w:t>
      </w:r>
      <w:r>
        <w:t>-GFP) or pKR154 (pF-P</w:t>
      </w:r>
      <w:r>
        <w:rPr>
          <w:i/>
        </w:rPr>
        <w:t>rspU3</w:t>
      </w:r>
      <w:r>
        <w:t xml:space="preserve">-GFP). For use in the β-Galactosidase Assay, strains KRLVS28 and KRLVS75 were used. The genotypes of these strains were LVS </w:t>
      </w:r>
      <w:r w:rsidR="0086472A" w:rsidRPr="0086472A">
        <w:rPr>
          <w:i/>
          <w:iCs/>
        </w:rPr>
        <w:t>rpsU1</w:t>
      </w:r>
      <w:r>
        <w:rPr>
          <w:i/>
        </w:rPr>
        <w:t xml:space="preserve">-lacZ </w:t>
      </w:r>
      <w:r>
        <w:t xml:space="preserve">and LVS </w:t>
      </w:r>
      <w:r w:rsidR="0086472A" w:rsidRPr="0086472A">
        <w:rPr>
          <w:i/>
          <w:iCs/>
        </w:rPr>
        <w:t>rpsU3</w:t>
      </w:r>
      <w:r>
        <w:rPr>
          <w:i/>
        </w:rPr>
        <w:t xml:space="preserve">-lacZ </w:t>
      </w:r>
      <w:r>
        <w:t>respectively. These were previously created using allelic exchanged pEX-based plasmids, pKR34 (pEX_</w:t>
      </w:r>
      <w:r w:rsidR="0086472A" w:rsidRPr="0086472A">
        <w:rPr>
          <w:i/>
          <w:iCs/>
        </w:rPr>
        <w:t>rpsU1</w:t>
      </w:r>
      <w:r>
        <w:rPr>
          <w:i/>
        </w:rPr>
        <w:t>_lacZ</w:t>
      </w:r>
      <w:r>
        <w:t>) or pKR38 (pEX_</w:t>
      </w:r>
      <w:r w:rsidR="0086472A" w:rsidRPr="0086472A">
        <w:rPr>
          <w:i/>
          <w:iCs/>
        </w:rPr>
        <w:t>rpsU3</w:t>
      </w:r>
      <w:r>
        <w:rPr>
          <w:i/>
        </w:rPr>
        <w:t>_lacZ</w:t>
      </w:r>
      <w:r>
        <w:t xml:space="preserve">). </w:t>
      </w:r>
    </w:p>
    <w:p w14:paraId="72F65301" w14:textId="77777777" w:rsidR="009D651E" w:rsidRDefault="00000000">
      <w:pPr>
        <w:spacing w:line="480" w:lineRule="auto"/>
        <w:rPr>
          <w:i/>
        </w:rPr>
      </w:pPr>
      <w:r>
        <w:rPr>
          <w:i/>
        </w:rPr>
        <w:lastRenderedPageBreak/>
        <w:t>Screening for Environmental Conditions - Growth</w:t>
      </w:r>
    </w:p>
    <w:p w14:paraId="6EDB31B1" w14:textId="77777777" w:rsidR="009D651E" w:rsidRDefault="00000000">
      <w:pPr>
        <w:spacing w:line="480" w:lineRule="auto"/>
        <w:ind w:firstLine="450"/>
      </w:pPr>
      <w:r>
        <w:t>Changes in temperature, salinity, pH, hydrogen peroxide (H</w:t>
      </w:r>
      <w:r>
        <w:rPr>
          <w:vertAlign w:val="subscript"/>
        </w:rPr>
        <w:t>2</w:t>
      </w:r>
      <w:r>
        <w:t>O</w:t>
      </w:r>
      <w:r>
        <w:rPr>
          <w:vertAlign w:val="subscript"/>
        </w:rPr>
        <w:t>2</w:t>
      </w:r>
      <w:r>
        <w:t>) stress, and UV stress were tested in MHB. To test salinity and pH, cells are grown to early-log phase and transferred to fresh, appropriately altered MHB for an additional 30-60 minute growth period. Alternatively, for temperature, H</w:t>
      </w:r>
      <w:r>
        <w:rPr>
          <w:vertAlign w:val="subscript"/>
        </w:rPr>
        <w:t>2</w:t>
      </w:r>
      <w:r>
        <w:t>O</w:t>
      </w:r>
      <w:r>
        <w:rPr>
          <w:vertAlign w:val="subscript"/>
        </w:rPr>
        <w:t>2</w:t>
      </w:r>
      <w:r>
        <w:t xml:space="preserve">, and UV stress, cultures are grown to mid-log, exposed to the condition, and given 30 minutes to recover. MHB versus CDM was tested by growing cultures to mid-log in MHB or CDM. Changes in iron, magnesium, or spermine concentrations were tested in CDM by altering the recipe to reflect the concentrations tested, and allowing the cultures to grow to mid-log. </w:t>
      </w:r>
    </w:p>
    <w:p w14:paraId="6A0E3588" w14:textId="77777777" w:rsidR="009D651E" w:rsidRDefault="00000000">
      <w:pPr>
        <w:spacing w:line="480" w:lineRule="auto"/>
        <w:rPr>
          <w:i/>
        </w:rPr>
      </w:pPr>
      <w:r>
        <w:rPr>
          <w:i/>
        </w:rPr>
        <w:t xml:space="preserve">GFP Assay </w:t>
      </w:r>
    </w:p>
    <w:p w14:paraId="3E288157" w14:textId="77777777" w:rsidR="009D651E" w:rsidRDefault="00000000">
      <w:pPr>
        <w:spacing w:line="480" w:lineRule="auto"/>
        <w:ind w:firstLine="450"/>
      </w:pPr>
      <w:r>
        <w:t xml:space="preserve">After cultures were grown to mid-log, 1 - 4mL was pelleted and resuspended in 1xPBS. In technical triplicate, 250 uL was plated in a clear 96-well plate and the OD600 was read by the SpectraMax® iD3 Multi-Mode Microplate Reader. 200 uL of the sample was then transferred to a black 96-well plate and the fluorescent value was measured. Fluorescence was normalized to LVS containing an empty vector (pF) in 1xPBS, and calculated relative to the corresponding OD600.   </w:t>
      </w:r>
    </w:p>
    <w:p w14:paraId="32F6C5C4" w14:textId="77777777" w:rsidR="009D651E" w:rsidRDefault="00000000">
      <w:pPr>
        <w:spacing w:line="480" w:lineRule="auto"/>
        <w:rPr>
          <w:i/>
        </w:rPr>
      </w:pPr>
      <w:bookmarkStart w:id="7" w:name="_heading=h.2s8eyo1" w:colFirst="0" w:colLast="0"/>
      <w:bookmarkEnd w:id="7"/>
      <w:r>
        <w:rPr>
          <w:i/>
        </w:rPr>
        <w:t>β-Galactosidase Assay</w:t>
      </w:r>
    </w:p>
    <w:p w14:paraId="400DBDE7" w14:textId="77777777" w:rsidR="009D651E" w:rsidRDefault="00000000">
      <w:pPr>
        <w:spacing w:line="480" w:lineRule="auto"/>
        <w:ind w:firstLine="450"/>
        <w:sectPr w:rsidR="009D651E">
          <w:headerReference w:type="default" r:id="rId20"/>
          <w:footerReference w:type="default" r:id="rId21"/>
          <w:pgSz w:w="12240" w:h="15840"/>
          <w:pgMar w:top="1440" w:right="1440" w:bottom="1440" w:left="2448" w:header="720" w:footer="720" w:gutter="0"/>
          <w:cols w:space="720"/>
        </w:sectPr>
      </w:pPr>
      <w:r>
        <w:t xml:space="preserve">Cultures were grown to early mid-log (around OD600 0.3) in triplicate. Growth was halted by placing cultures on ice for at least 30 minutes before cells were added to tubes containing Z-buffer supplemented with β-mercaptoethanol. 0.1% SDS and chloroform were added, cultures were </w:t>
      </w:r>
      <w:r>
        <w:lastRenderedPageBreak/>
        <w:t>vortexed, then allowed to come to 28°C for 10 minutes prior to the addition of the substrate O-nitrophenyl- β -galactopyranoside (ONPG). Reactions were stopped upon reaching a yellow color, OD420 0.6-0.9.</w:t>
      </w:r>
    </w:p>
    <w:p w14:paraId="6A3B2E9E" w14:textId="77777777" w:rsidR="009D651E" w:rsidRDefault="00000000">
      <w:pPr>
        <w:pStyle w:val="Heading2"/>
        <w:jc w:val="center"/>
      </w:pPr>
      <w:bookmarkStart w:id="8" w:name="_heading=h.17dp8vu" w:colFirst="0" w:colLast="0"/>
      <w:bookmarkEnd w:id="8"/>
      <w:r>
        <w:lastRenderedPageBreak/>
        <w:t>REFERENCES</w:t>
      </w:r>
    </w:p>
    <w:p w14:paraId="7B784C38" w14:textId="77777777" w:rsidR="009D651E" w:rsidRDefault="009D651E">
      <w:pPr>
        <w:spacing w:line="480" w:lineRule="auto"/>
      </w:pPr>
    </w:p>
    <w:p w14:paraId="511104F7" w14:textId="77777777" w:rsidR="009D651E" w:rsidRDefault="009D651E">
      <w:pPr>
        <w:spacing w:line="480" w:lineRule="auto"/>
      </w:pPr>
    </w:p>
    <w:sectPr w:rsidR="009D651E">
      <w:headerReference w:type="default" r:id="rId22"/>
      <w:footerReference w:type="default" r:id="rId23"/>
      <w:pgSz w:w="12240" w:h="15840"/>
      <w:pgMar w:top="1440" w:right="1440" w:bottom="1440" w:left="244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9D97A" w14:textId="77777777" w:rsidR="00497591" w:rsidRDefault="00497591">
      <w:r>
        <w:separator/>
      </w:r>
    </w:p>
  </w:endnote>
  <w:endnote w:type="continuationSeparator" w:id="0">
    <w:p w14:paraId="6D4F99D8" w14:textId="77777777" w:rsidR="00497591" w:rsidRDefault="00497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ambria"/>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BDF2E" w14:textId="73ADB448" w:rsidR="009D651E" w:rsidRDefault="00000000">
    <w:pPr>
      <w:pBdr>
        <w:top w:val="nil"/>
        <w:left w:val="nil"/>
        <w:bottom w:val="nil"/>
        <w:right w:val="nil"/>
        <w:between w:val="nil"/>
      </w:pBdr>
      <w:tabs>
        <w:tab w:val="center" w:pos="4320"/>
        <w:tab w:val="right" w:pos="8640"/>
      </w:tabs>
      <w:jc w:val="center"/>
      <w:rPr>
        <w:rFonts w:eastAsia="Arial" w:cs="Arial"/>
        <w:color w:val="000000"/>
        <w:szCs w:val="24"/>
      </w:rPr>
    </w:pPr>
    <w:r>
      <w:rPr>
        <w:rFonts w:eastAsia="Arial" w:cs="Arial"/>
        <w:color w:val="000000"/>
        <w:szCs w:val="24"/>
      </w:rPr>
      <w:fldChar w:fldCharType="begin"/>
    </w:r>
    <w:r>
      <w:rPr>
        <w:rFonts w:eastAsia="Arial" w:cs="Arial"/>
        <w:color w:val="000000"/>
        <w:szCs w:val="24"/>
      </w:rPr>
      <w:instrText>PAGE</w:instrText>
    </w:r>
    <w:r>
      <w:rPr>
        <w:rFonts w:eastAsia="Arial" w:cs="Arial"/>
        <w:color w:val="000000"/>
        <w:szCs w:val="24"/>
      </w:rPr>
      <w:fldChar w:fldCharType="separate"/>
    </w:r>
    <w:r w:rsidR="007C11B0">
      <w:rPr>
        <w:rFonts w:eastAsia="Arial" w:cs="Arial"/>
        <w:noProof/>
        <w:color w:val="000000"/>
        <w:szCs w:val="24"/>
      </w:rPr>
      <w:t>3</w:t>
    </w:r>
    <w:r>
      <w:rPr>
        <w:rFonts w:eastAsia="Arial" w:cs="Arial"/>
        <w:color w:val="000000"/>
        <w:szCs w:val="24"/>
      </w:rPr>
      <w:fldChar w:fldCharType="end"/>
    </w:r>
  </w:p>
  <w:p w14:paraId="3BBDA8AD" w14:textId="77777777" w:rsidR="009D651E" w:rsidRDefault="009D651E">
    <w:pPr>
      <w:pBdr>
        <w:top w:val="nil"/>
        <w:left w:val="nil"/>
        <w:bottom w:val="nil"/>
        <w:right w:val="nil"/>
        <w:between w:val="nil"/>
      </w:pBdr>
      <w:tabs>
        <w:tab w:val="center" w:pos="4320"/>
        <w:tab w:val="right" w:pos="8640"/>
      </w:tabs>
      <w:rPr>
        <w:rFonts w:eastAsia="Arial" w:cs="Arial"/>
        <w:color w:val="000000"/>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A9F40" w14:textId="69EA2D9B" w:rsidR="009D651E" w:rsidRDefault="00000000">
    <w:pPr>
      <w:pBdr>
        <w:top w:val="nil"/>
        <w:left w:val="nil"/>
        <w:bottom w:val="nil"/>
        <w:right w:val="nil"/>
        <w:between w:val="nil"/>
      </w:pBdr>
      <w:tabs>
        <w:tab w:val="center" w:pos="4320"/>
        <w:tab w:val="right" w:pos="8640"/>
      </w:tabs>
      <w:jc w:val="center"/>
      <w:rPr>
        <w:rFonts w:eastAsia="Arial" w:cs="Arial"/>
        <w:color w:val="000000"/>
        <w:szCs w:val="24"/>
      </w:rPr>
    </w:pPr>
    <w:r>
      <w:rPr>
        <w:rFonts w:eastAsia="Arial" w:cs="Arial"/>
        <w:color w:val="000000"/>
        <w:szCs w:val="24"/>
      </w:rPr>
      <w:fldChar w:fldCharType="begin"/>
    </w:r>
    <w:r>
      <w:rPr>
        <w:rFonts w:eastAsia="Arial" w:cs="Arial"/>
        <w:color w:val="000000"/>
        <w:szCs w:val="24"/>
      </w:rPr>
      <w:instrText>PAGE</w:instrText>
    </w:r>
    <w:r>
      <w:rPr>
        <w:rFonts w:eastAsia="Arial" w:cs="Arial"/>
        <w:color w:val="000000"/>
        <w:szCs w:val="24"/>
      </w:rPr>
      <w:fldChar w:fldCharType="separate"/>
    </w:r>
    <w:r w:rsidR="007C11B0">
      <w:rPr>
        <w:rFonts w:eastAsia="Arial" w:cs="Arial"/>
        <w:noProof/>
        <w:color w:val="000000"/>
        <w:szCs w:val="24"/>
      </w:rPr>
      <w:t>5</w:t>
    </w:r>
    <w:r>
      <w:rPr>
        <w:rFonts w:eastAsia="Arial" w:cs="Arial"/>
        <w:color w:val="000000"/>
        <w:szCs w:val="24"/>
      </w:rPr>
      <w:fldChar w:fldCharType="end"/>
    </w:r>
  </w:p>
  <w:p w14:paraId="6AAC355C" w14:textId="77777777" w:rsidR="009D651E" w:rsidRDefault="009D651E">
    <w:pPr>
      <w:pBdr>
        <w:top w:val="nil"/>
        <w:left w:val="nil"/>
        <w:bottom w:val="nil"/>
        <w:right w:val="nil"/>
        <w:between w:val="nil"/>
      </w:pBdr>
      <w:tabs>
        <w:tab w:val="center" w:pos="4320"/>
        <w:tab w:val="right" w:pos="8640"/>
      </w:tabs>
      <w:rPr>
        <w:rFonts w:eastAsia="Arial" w:cs="Arial"/>
        <w:color w:val="000000"/>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4237E" w14:textId="57E49276" w:rsidR="009D651E" w:rsidRDefault="00000000">
    <w:pPr>
      <w:pBdr>
        <w:top w:val="nil"/>
        <w:left w:val="nil"/>
        <w:bottom w:val="nil"/>
        <w:right w:val="nil"/>
        <w:between w:val="nil"/>
      </w:pBdr>
      <w:tabs>
        <w:tab w:val="center" w:pos="4320"/>
        <w:tab w:val="right" w:pos="8640"/>
      </w:tabs>
      <w:jc w:val="center"/>
      <w:rPr>
        <w:rFonts w:eastAsia="Arial" w:cs="Arial"/>
        <w:color w:val="000000"/>
        <w:szCs w:val="24"/>
      </w:rPr>
    </w:pPr>
    <w:r>
      <w:rPr>
        <w:rFonts w:eastAsia="Arial" w:cs="Arial"/>
        <w:color w:val="000000"/>
        <w:szCs w:val="24"/>
      </w:rPr>
      <w:fldChar w:fldCharType="begin"/>
    </w:r>
    <w:r>
      <w:rPr>
        <w:rFonts w:eastAsia="Arial" w:cs="Arial"/>
        <w:color w:val="000000"/>
        <w:szCs w:val="24"/>
      </w:rPr>
      <w:instrText>PAGE</w:instrText>
    </w:r>
    <w:r>
      <w:rPr>
        <w:rFonts w:eastAsia="Arial" w:cs="Arial"/>
        <w:color w:val="000000"/>
        <w:szCs w:val="24"/>
      </w:rPr>
      <w:fldChar w:fldCharType="separate"/>
    </w:r>
    <w:r w:rsidR="007C11B0">
      <w:rPr>
        <w:rFonts w:eastAsia="Arial" w:cs="Arial"/>
        <w:noProof/>
        <w:color w:val="000000"/>
        <w:szCs w:val="24"/>
      </w:rPr>
      <w:t>14</w:t>
    </w:r>
    <w:r>
      <w:rPr>
        <w:rFonts w:eastAsia="Arial" w:cs="Arial"/>
        <w:color w:val="000000"/>
        <w:szCs w:val="24"/>
      </w:rPr>
      <w:fldChar w:fldCharType="end"/>
    </w:r>
  </w:p>
  <w:p w14:paraId="7F02577C" w14:textId="77777777" w:rsidR="009D651E" w:rsidRDefault="009D651E">
    <w:pPr>
      <w:pBdr>
        <w:top w:val="nil"/>
        <w:left w:val="nil"/>
        <w:bottom w:val="nil"/>
        <w:right w:val="nil"/>
        <w:between w:val="nil"/>
      </w:pBdr>
      <w:tabs>
        <w:tab w:val="center" w:pos="4320"/>
        <w:tab w:val="right" w:pos="8640"/>
      </w:tabs>
      <w:rPr>
        <w:rFonts w:eastAsia="Arial" w:cs="Arial"/>
        <w:color w:val="000000"/>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0804D" w14:textId="76D39C12" w:rsidR="009D651E" w:rsidRDefault="00000000">
    <w:pPr>
      <w:pBdr>
        <w:top w:val="nil"/>
        <w:left w:val="nil"/>
        <w:bottom w:val="nil"/>
        <w:right w:val="nil"/>
        <w:between w:val="nil"/>
      </w:pBdr>
      <w:tabs>
        <w:tab w:val="center" w:pos="4320"/>
        <w:tab w:val="right" w:pos="8640"/>
      </w:tabs>
      <w:jc w:val="center"/>
      <w:rPr>
        <w:rFonts w:eastAsia="Arial" w:cs="Arial"/>
        <w:color w:val="000000"/>
        <w:szCs w:val="24"/>
      </w:rPr>
    </w:pPr>
    <w:r>
      <w:rPr>
        <w:rFonts w:eastAsia="Arial" w:cs="Arial"/>
        <w:color w:val="000000"/>
        <w:szCs w:val="24"/>
      </w:rPr>
      <w:fldChar w:fldCharType="begin"/>
    </w:r>
    <w:r>
      <w:rPr>
        <w:rFonts w:eastAsia="Arial" w:cs="Arial"/>
        <w:color w:val="000000"/>
        <w:szCs w:val="24"/>
      </w:rPr>
      <w:instrText>PAGE</w:instrText>
    </w:r>
    <w:r>
      <w:rPr>
        <w:rFonts w:eastAsia="Arial" w:cs="Arial"/>
        <w:color w:val="000000"/>
        <w:szCs w:val="24"/>
      </w:rPr>
      <w:fldChar w:fldCharType="separate"/>
    </w:r>
    <w:r w:rsidR="007C11B0">
      <w:rPr>
        <w:rFonts w:eastAsia="Arial" w:cs="Arial"/>
        <w:noProof/>
        <w:color w:val="000000"/>
        <w:szCs w:val="24"/>
      </w:rPr>
      <w:t>17</w:t>
    </w:r>
    <w:r>
      <w:rPr>
        <w:rFonts w:eastAsia="Arial" w:cs="Arial"/>
        <w:color w:val="000000"/>
        <w:szCs w:val="24"/>
      </w:rPr>
      <w:fldChar w:fldCharType="end"/>
    </w:r>
  </w:p>
  <w:p w14:paraId="21E6D73A" w14:textId="77777777" w:rsidR="009D651E" w:rsidRDefault="009D651E">
    <w:pPr>
      <w:pBdr>
        <w:top w:val="nil"/>
        <w:left w:val="nil"/>
        <w:bottom w:val="nil"/>
        <w:right w:val="nil"/>
        <w:between w:val="nil"/>
      </w:pBdr>
      <w:tabs>
        <w:tab w:val="center" w:pos="4320"/>
        <w:tab w:val="right" w:pos="8640"/>
      </w:tabs>
      <w:rPr>
        <w:rFonts w:eastAsia="Arial" w:cs="Arial"/>
        <w:color w:val="000000"/>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04CDE" w14:textId="77777777" w:rsidR="00497591" w:rsidRDefault="00497591">
      <w:r>
        <w:separator/>
      </w:r>
    </w:p>
  </w:footnote>
  <w:footnote w:type="continuationSeparator" w:id="0">
    <w:p w14:paraId="3B606570" w14:textId="77777777" w:rsidR="00497591" w:rsidRDefault="00497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5E531" w14:textId="77777777" w:rsidR="009D651E" w:rsidRDefault="009D651E">
    <w:pPr>
      <w:pBdr>
        <w:top w:val="nil"/>
        <w:left w:val="nil"/>
        <w:bottom w:val="nil"/>
        <w:right w:val="nil"/>
        <w:between w:val="nil"/>
      </w:pBdr>
      <w:tabs>
        <w:tab w:val="center" w:pos="4320"/>
        <w:tab w:val="right" w:pos="8640"/>
      </w:tabs>
      <w:rPr>
        <w:rFonts w:eastAsia="Arial" w:cs="Arial"/>
        <w:color w:val="000000"/>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849E1" w14:textId="77777777" w:rsidR="009D651E" w:rsidRDefault="009D651E">
    <w:pPr>
      <w:pBdr>
        <w:top w:val="nil"/>
        <w:left w:val="nil"/>
        <w:bottom w:val="nil"/>
        <w:right w:val="nil"/>
        <w:between w:val="nil"/>
      </w:pBdr>
      <w:tabs>
        <w:tab w:val="center" w:pos="4320"/>
        <w:tab w:val="right" w:pos="8640"/>
      </w:tabs>
      <w:rPr>
        <w:rFonts w:eastAsia="Arial" w:cs="Arial"/>
        <w:color w:val="000000"/>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47613" w14:textId="77777777" w:rsidR="009D651E" w:rsidRDefault="009D651E">
    <w:pPr>
      <w:pBdr>
        <w:top w:val="nil"/>
        <w:left w:val="nil"/>
        <w:bottom w:val="nil"/>
        <w:right w:val="nil"/>
        <w:between w:val="nil"/>
      </w:pBdr>
      <w:tabs>
        <w:tab w:val="center" w:pos="4320"/>
        <w:tab w:val="right" w:pos="8640"/>
      </w:tabs>
      <w:rPr>
        <w:rFonts w:eastAsia="Arial" w:cs="Arial"/>
        <w:color w:val="000000"/>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FB6BA" w14:textId="77777777" w:rsidR="009D651E" w:rsidRDefault="009D651E">
    <w:pPr>
      <w:pBdr>
        <w:top w:val="nil"/>
        <w:left w:val="nil"/>
        <w:bottom w:val="nil"/>
        <w:right w:val="nil"/>
        <w:between w:val="nil"/>
      </w:pBdr>
      <w:tabs>
        <w:tab w:val="center" w:pos="4320"/>
        <w:tab w:val="right" w:pos="8640"/>
      </w:tabs>
      <w:rPr>
        <w:rFonts w:eastAsia="Arial" w:cs="Arial"/>
        <w:color w:val="00000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77D56"/>
    <w:multiLevelType w:val="multilevel"/>
    <w:tmpl w:val="4984C164"/>
    <w:lvl w:ilvl="0">
      <w:start w:val="1"/>
      <w:numFmt w:val="decimal"/>
      <w:lvlText w:val=""/>
      <w:lvlJc w:val="left"/>
      <w:pPr>
        <w:ind w:left="432" w:hanging="432"/>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15:restartNumberingAfterBreak="0">
    <w:nsid w:val="2D10744B"/>
    <w:multiLevelType w:val="multilevel"/>
    <w:tmpl w:val="741E1286"/>
    <w:lvl w:ilvl="0">
      <w:start w:val="1"/>
      <w:numFmt w:val="decimal"/>
      <w:pStyle w:val="Heading1"/>
      <w:lvlText w:val=""/>
      <w:lvlJc w:val="left"/>
      <w:pPr>
        <w:ind w:left="432" w:hanging="432"/>
      </w:pPr>
    </w:lvl>
    <w:lvl w:ilvl="1">
      <w:start w:val="1"/>
      <w:numFmt w:val="decimal"/>
      <w:pStyle w:val="Heading2"/>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805351548">
    <w:abstractNumId w:val="1"/>
  </w:num>
  <w:num w:numId="2" w16cid:durableId="20001908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51E"/>
    <w:rsid w:val="00224ADB"/>
    <w:rsid w:val="00453171"/>
    <w:rsid w:val="00466366"/>
    <w:rsid w:val="00497591"/>
    <w:rsid w:val="00581E1E"/>
    <w:rsid w:val="007C11B0"/>
    <w:rsid w:val="0086472A"/>
    <w:rsid w:val="00966289"/>
    <w:rsid w:val="009D651E"/>
    <w:rsid w:val="00A239DF"/>
    <w:rsid w:val="00B853B9"/>
    <w:rsid w:val="00E66A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FA585"/>
  <w15:docId w15:val="{B74A5F6F-4D8C-4A1C-8785-4897E028C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Cs w:val="20"/>
    </w:rPr>
  </w:style>
  <w:style w:type="paragraph" w:styleId="Heading1">
    <w:name w:val="heading 1"/>
    <w:basedOn w:val="BodyTextFirstIndent"/>
    <w:next w:val="Text"/>
    <w:uiPriority w:val="9"/>
    <w:qFormat/>
    <w:pPr>
      <w:keepNext/>
      <w:numPr>
        <w:numId w:val="1"/>
      </w:numPr>
      <w:jc w:val="center"/>
      <w:outlineLvl w:val="0"/>
    </w:pPr>
    <w:rPr>
      <w:rFonts w:ascii="Arial" w:hAnsi="Arial"/>
      <w:b w:val="0"/>
      <w:sz w:val="24"/>
    </w:rPr>
  </w:style>
  <w:style w:type="paragraph" w:styleId="Heading2">
    <w:name w:val="heading 2"/>
    <w:basedOn w:val="Heading"/>
    <w:next w:val="BodyText"/>
    <w:uiPriority w:val="9"/>
    <w:unhideWhenUsed/>
    <w:qFormat/>
    <w:pPr>
      <w:numPr>
        <w:ilvl w:val="1"/>
        <w:numId w:val="1"/>
      </w:numPr>
      <w:spacing w:before="0" w:after="0"/>
      <w:outlineLvl w:val="1"/>
    </w:pPr>
    <w:rPr>
      <w:bCs/>
      <w:sz w:val="24"/>
      <w:szCs w:val="32"/>
    </w:rPr>
  </w:style>
  <w:style w:type="paragraph" w:styleId="Heading3">
    <w:name w:val="heading 3"/>
    <w:basedOn w:val="Normal"/>
    <w:next w:val="Normal"/>
    <w:link w:val="Heading3Char"/>
    <w:uiPriority w:val="9"/>
    <w:unhideWhenUsed/>
    <w:qFormat/>
    <w:rsid w:val="00507E90"/>
    <w:pPr>
      <w:spacing w:line="480" w:lineRule="auto"/>
      <w:outlineLvl w:val="2"/>
    </w:pPr>
    <w:rPr>
      <w:b/>
      <w:bCs/>
      <w:szCs w:val="24"/>
    </w:rPr>
  </w:style>
  <w:style w:type="paragraph" w:styleId="Heading4">
    <w:name w:val="heading 4"/>
    <w:basedOn w:val="Normal"/>
    <w:next w:val="Normal"/>
    <w:uiPriority w:val="9"/>
    <w:semiHidden/>
    <w:unhideWhenUsed/>
    <w:qFormat/>
    <w:pPr>
      <w:keepNext/>
      <w:keepLines/>
      <w:spacing w:before="240" w:after="40"/>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Subtitle"/>
    <w:uiPriority w:val="10"/>
    <w:qFormat/>
    <w:pPr>
      <w:widowControl w:val="0"/>
      <w:overflowPunct w:val="0"/>
      <w:autoSpaceDE w:val="0"/>
      <w:jc w:val="center"/>
    </w:pPr>
    <w:rPr>
      <w:kern w:val="2"/>
      <w:szCs w:val="24"/>
    </w:rPr>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styleId="PageNumber">
    <w:name w:val="page number"/>
    <w:basedOn w:val="DefaultParagraphFont"/>
  </w:style>
  <w:style w:type="character" w:customStyle="1" w:styleId="TitleChar">
    <w:name w:val="Title Char"/>
    <w:qFormat/>
    <w:rPr>
      <w:kern w:val="2"/>
      <w:sz w:val="24"/>
      <w:szCs w:val="24"/>
    </w:rPr>
  </w:style>
  <w:style w:type="character" w:customStyle="1" w:styleId="BodyTextChar">
    <w:name w:val="Body Text Char"/>
    <w:qFormat/>
    <w:rPr>
      <w:rFonts w:ascii="Courier New" w:hAnsi="Courier New" w:cs="Courier New"/>
      <w:b/>
      <w:bCs/>
      <w:szCs w:val="24"/>
    </w:rPr>
  </w:style>
  <w:style w:type="character" w:customStyle="1" w:styleId="FooterChar">
    <w:name w:val="Footer Char"/>
    <w:qFormat/>
    <w:rPr>
      <w:sz w:val="24"/>
    </w:rPr>
  </w:style>
  <w:style w:type="character" w:customStyle="1" w:styleId="Heading1Char">
    <w:name w:val="Heading 1 Char"/>
    <w:qFormat/>
    <w:rPr>
      <w:rFonts w:ascii="Courier New" w:hAnsi="Courier New" w:cs="Courier New"/>
      <w:b/>
      <w:bCs/>
      <w:szCs w:val="24"/>
      <w:u w:val="single"/>
    </w:rPr>
  </w:style>
  <w:style w:type="character" w:styleId="Hyperlink">
    <w:name w:val="Hyperlink"/>
    <w:uiPriority w:val="99"/>
    <w:rPr>
      <w:color w:val="0000FF"/>
      <w:u w:val="single"/>
    </w:rPr>
  </w:style>
  <w:style w:type="character" w:customStyle="1" w:styleId="BalloonTextChar">
    <w:name w:val="Balloon Text Char"/>
    <w:qFormat/>
    <w:rPr>
      <w:rFonts w:ascii="Tahoma" w:hAnsi="Tahoma" w:cs="Tahoma"/>
      <w:sz w:val="16"/>
      <w:szCs w:val="16"/>
    </w:rPr>
  </w:style>
  <w:style w:type="character" w:styleId="CommentReference">
    <w:name w:val="annotation reference"/>
    <w:qFormat/>
    <w:rPr>
      <w:sz w:val="16"/>
      <w:szCs w:val="16"/>
    </w:rPr>
  </w:style>
  <w:style w:type="character" w:customStyle="1" w:styleId="CommentTextChar">
    <w:name w:val="Comment Text Char"/>
    <w:basedOn w:val="DefaultParagraphFont"/>
    <w:qFormat/>
  </w:style>
  <w:style w:type="character" w:customStyle="1" w:styleId="CommentSubjectChar">
    <w:name w:val="Comment Subject Char"/>
    <w:qFormat/>
    <w:rPr>
      <w:b/>
      <w:bC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eastAsia="Microsoft YaHei" w:cs="Mangal"/>
      <w:sz w:val="28"/>
      <w:szCs w:val="28"/>
    </w:rPr>
  </w:style>
  <w:style w:type="paragraph" w:styleId="BodyText">
    <w:name w:val="Body Text"/>
    <w:basedOn w:val="Normal"/>
    <w:rPr>
      <w:rFonts w:ascii="Courier New" w:hAnsi="Courier New" w:cs="Courier New"/>
      <w:b/>
      <w:bCs/>
      <w:sz w:val="20"/>
      <w:szCs w:val="24"/>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Cs w:val="24"/>
    </w:rPr>
  </w:style>
  <w:style w:type="paragraph" w:customStyle="1" w:styleId="Index">
    <w:name w:val="Index"/>
    <w:basedOn w:val="Normal"/>
    <w:qFormat/>
    <w:pPr>
      <w:suppressLineNumbers/>
    </w:pPr>
    <w:rPr>
      <w:rFonts w:cs="Mangal"/>
    </w:rPr>
  </w:style>
  <w:style w:type="paragraph" w:customStyle="1" w:styleId="HeaderandFooter">
    <w:name w:val="Header and Footer"/>
    <w:basedOn w:val="Normal"/>
    <w:qFormat/>
    <w:pPr>
      <w:suppressLineNumbers/>
      <w:tabs>
        <w:tab w:val="center" w:pos="4986"/>
        <w:tab w:val="right" w:pos="9972"/>
      </w:tabs>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Subtitle">
    <w:name w:val="Subtitle"/>
    <w:basedOn w:val="Normal"/>
    <w:next w:val="Normal"/>
    <w:uiPriority w:val="11"/>
    <w:qFormat/>
    <w:pPr>
      <w:keepNext/>
      <w:spacing w:before="240" w:after="120"/>
      <w:jc w:val="center"/>
    </w:pPr>
    <w:rPr>
      <w:i/>
      <w:sz w:val="28"/>
      <w:szCs w:val="28"/>
    </w:rPr>
  </w:style>
  <w:style w:type="paragraph" w:styleId="DocumentMap">
    <w:name w:val="Document Map"/>
    <w:basedOn w:val="Normal"/>
    <w:qFormat/>
    <w:pPr>
      <w:shd w:val="clear" w:color="auto" w:fill="000080"/>
    </w:pPr>
    <w:rPr>
      <w:rFonts w:ascii="Tahoma" w:hAnsi="Tahoma" w:cs="Tahoma"/>
      <w:sz w:val="20"/>
    </w:rPr>
  </w:style>
  <w:style w:type="paragraph" w:styleId="TOCHeading">
    <w:name w:val="TOC Heading"/>
    <w:basedOn w:val="Heading1"/>
    <w:next w:val="Normal"/>
    <w:qFormat/>
    <w:pPr>
      <w:keepLines/>
      <w:numPr>
        <w:numId w:val="0"/>
      </w:numPr>
      <w:spacing w:before="480" w:line="276" w:lineRule="auto"/>
    </w:pPr>
    <w:rPr>
      <w:rFonts w:ascii="Cambria" w:hAnsi="Cambria" w:cs="Times New Roman"/>
      <w:color w:val="365F91"/>
      <w:sz w:val="28"/>
      <w:szCs w:val="28"/>
    </w:rPr>
  </w:style>
  <w:style w:type="paragraph" w:styleId="TOC1">
    <w:name w:val="toc 1"/>
    <w:basedOn w:val="Normal"/>
    <w:next w:val="Normal"/>
    <w:uiPriority w:val="39"/>
    <w:pPr>
      <w:tabs>
        <w:tab w:val="right" w:leader="dot" w:pos="8342"/>
      </w:tabs>
      <w:spacing w:line="480" w:lineRule="auto"/>
      <w:ind w:left="360" w:hanging="360"/>
    </w:pPr>
  </w:style>
  <w:style w:type="paragraph" w:styleId="TOC2">
    <w:name w:val="toc 2"/>
    <w:basedOn w:val="Normal"/>
    <w:next w:val="Normal"/>
    <w:uiPriority w:val="39"/>
    <w:pPr>
      <w:spacing w:after="100" w:line="276" w:lineRule="auto"/>
      <w:ind w:left="220"/>
    </w:pPr>
    <w:rPr>
      <w:rFonts w:ascii="Calibri" w:hAnsi="Calibri"/>
      <w:sz w:val="22"/>
      <w:szCs w:val="22"/>
    </w:rPr>
  </w:style>
  <w:style w:type="paragraph" w:styleId="TOC3">
    <w:name w:val="toc 3"/>
    <w:basedOn w:val="Normal"/>
    <w:next w:val="Normal"/>
    <w:uiPriority w:val="39"/>
    <w:pPr>
      <w:spacing w:after="100" w:line="276" w:lineRule="auto"/>
      <w:ind w:left="440"/>
    </w:pPr>
    <w:rPr>
      <w:rFonts w:ascii="Calibri" w:hAnsi="Calibri"/>
      <w:sz w:val="22"/>
      <w:szCs w:val="22"/>
    </w:rPr>
  </w:style>
  <w:style w:type="paragraph" w:styleId="BalloonText">
    <w:name w:val="Balloon Text"/>
    <w:basedOn w:val="Normal"/>
    <w:qFormat/>
    <w:rPr>
      <w:rFonts w:ascii="Tahoma" w:hAnsi="Tahoma" w:cs="Tahoma"/>
      <w:sz w:val="16"/>
      <w:szCs w:val="16"/>
    </w:rPr>
  </w:style>
  <w:style w:type="paragraph" w:styleId="TableofFigures">
    <w:name w:val="table of figures"/>
    <w:basedOn w:val="Normal"/>
    <w:next w:val="Normal"/>
    <w:qFormat/>
  </w:style>
  <w:style w:type="paragraph" w:styleId="CommentText">
    <w:name w:val="annotation text"/>
    <w:basedOn w:val="Normal"/>
    <w:qFormat/>
    <w:rPr>
      <w:sz w:val="20"/>
    </w:rPr>
  </w:style>
  <w:style w:type="paragraph" w:styleId="CommentSubject">
    <w:name w:val="annotation subject"/>
    <w:basedOn w:val="CommentText"/>
    <w:next w:val="CommentText"/>
    <w:qFormat/>
    <w:rPr>
      <w:b/>
      <w:bCs/>
    </w:rPr>
  </w:style>
  <w:style w:type="paragraph" w:customStyle="1" w:styleId="WW-Default">
    <w:name w:val="WW-Default"/>
    <w:qFormat/>
    <w:pPr>
      <w:widowControl w:val="0"/>
      <w:autoSpaceDE w:val="0"/>
    </w:pPr>
    <w:rPr>
      <w:rFonts w:eastAsia="Times New Roman"/>
      <w:color w:val="000000"/>
    </w:rPr>
  </w:style>
  <w:style w:type="paragraph" w:styleId="TOC4">
    <w:name w:val="toc 4"/>
    <w:basedOn w:val="Index"/>
    <w:pPr>
      <w:tabs>
        <w:tab w:val="right" w:leader="dot" w:pos="9123"/>
      </w:tabs>
      <w:ind w:left="849"/>
    </w:pPr>
  </w:style>
  <w:style w:type="paragraph" w:styleId="TOC5">
    <w:name w:val="toc 5"/>
    <w:basedOn w:val="Index"/>
    <w:pPr>
      <w:tabs>
        <w:tab w:val="right" w:leader="dot" w:pos="8840"/>
      </w:tabs>
      <w:ind w:left="1132"/>
    </w:pPr>
  </w:style>
  <w:style w:type="paragraph" w:styleId="TOC6">
    <w:name w:val="toc 6"/>
    <w:basedOn w:val="Index"/>
    <w:pPr>
      <w:tabs>
        <w:tab w:val="right" w:leader="dot" w:pos="8557"/>
      </w:tabs>
      <w:ind w:left="1415"/>
    </w:pPr>
  </w:style>
  <w:style w:type="paragraph" w:styleId="TOC7">
    <w:name w:val="toc 7"/>
    <w:basedOn w:val="Index"/>
    <w:pPr>
      <w:tabs>
        <w:tab w:val="right" w:leader="dot" w:pos="8274"/>
      </w:tabs>
      <w:ind w:left="1698"/>
    </w:pPr>
  </w:style>
  <w:style w:type="paragraph" w:styleId="TOC8">
    <w:name w:val="toc 8"/>
    <w:basedOn w:val="Index"/>
    <w:pPr>
      <w:tabs>
        <w:tab w:val="right" w:leader="dot" w:pos="7991"/>
      </w:tabs>
      <w:ind w:left="1981"/>
    </w:pPr>
  </w:style>
  <w:style w:type="paragraph" w:styleId="TOC9">
    <w:name w:val="toc 9"/>
    <w:basedOn w:val="Index"/>
    <w:pPr>
      <w:tabs>
        <w:tab w:val="right" w:leader="dot" w:pos="7708"/>
      </w:tabs>
      <w:ind w:left="2264"/>
    </w:pPr>
  </w:style>
  <w:style w:type="paragraph" w:customStyle="1" w:styleId="Contents10">
    <w:name w:val="Contents 10"/>
    <w:basedOn w:val="Index"/>
    <w:qFormat/>
    <w:pPr>
      <w:tabs>
        <w:tab w:val="right" w:leader="dot" w:pos="7425"/>
      </w:tabs>
      <w:ind w:left="2547"/>
    </w:pPr>
  </w:style>
  <w:style w:type="paragraph" w:styleId="BodyTextFirstIndent">
    <w:name w:val="Body Text First Indent"/>
    <w:basedOn w:val="BodyText"/>
    <w:pPr>
      <w:ind w:firstLine="283"/>
    </w:pPr>
  </w:style>
  <w:style w:type="paragraph" w:customStyle="1" w:styleId="Text">
    <w:name w:val="Text"/>
    <w:basedOn w:val="Caption"/>
    <w:qFormat/>
  </w:style>
  <w:style w:type="numbering" w:customStyle="1" w:styleId="WW8Num1">
    <w:name w:val="WW8Num1"/>
    <w:qFormat/>
  </w:style>
  <w:style w:type="character" w:customStyle="1" w:styleId="Heading3Char">
    <w:name w:val="Heading 3 Char"/>
    <w:basedOn w:val="DefaultParagraphFont"/>
    <w:link w:val="Heading3"/>
    <w:uiPriority w:val="9"/>
    <w:rsid w:val="00507E90"/>
    <w:rPr>
      <w:rFonts w:ascii="Arial" w:eastAsia="Times New Roman" w:hAnsi="Arial" w:cs="Times New Roman"/>
      <w:b/>
      <w:bCs/>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oter" Target="footer4.xm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w/RWeaGz0Yj4NUSgZWU22aycbA==">CgMxLjAyCGguZ2pkZ3hzMgloLjMwajB6bGwyCWguMWZvYjl0ZTIJaC4zem55c2g3MgloLjJldDkycDAyCGgudHlqY3d0MgloLjNkeTZ2a20yCWguMXQzaDVzZjIJaC40ZDM0b2c4MgloLjJzOGV5bzEyCWguMTdkcDh2dTgAciExODI4b2NNWTg4aktZUjZmZFFZLWY4WjdWNnk0YWl6MDI=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2618</Words>
  <Characters>14924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maxwedc</dc:creator>
  <cp:lastModifiedBy>Sierra Schmidt</cp:lastModifiedBy>
  <cp:revision>3</cp:revision>
  <dcterms:created xsi:type="dcterms:W3CDTF">2023-08-29T17:37:00Z</dcterms:created>
  <dcterms:modified xsi:type="dcterms:W3CDTF">2023-08-29T17:37:00Z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zotero-version="6.0.26"&gt;&lt;session id="Ob8TF1F2"/&gt;&lt;style id="http://www.zotero.org/styles/apa" locale="en-US" hasBibliography="1" bibliographyStyleHasBeenSet="0"/&gt;&lt;prefs&gt;&lt;pref name="fieldType" value="Field"/&gt;&lt;/prefs&gt;&lt;/data&gt;</vt:lpwstr>
  </property>
</Properties>
</file>