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0BD" w:rsidRPr="000730BD" w:rsidRDefault="001A3D9B">
      <w:pPr>
        <w:rPr>
          <w:b/>
        </w:rPr>
      </w:pPr>
      <w:r w:rsidRPr="000730BD">
        <w:rPr>
          <w:b/>
        </w:rPr>
        <w:t xml:space="preserve">ARBITRARY PCR  </w:t>
      </w:r>
    </w:p>
    <w:p w:rsidR="000730BD" w:rsidRDefault="001A3D9B">
      <w:r>
        <w:t>From George O’Toole, edited by Samantha Orchard</w:t>
      </w:r>
    </w:p>
    <w:p w:rsidR="000730BD" w:rsidRPr="000730BD" w:rsidRDefault="001A3D9B">
      <w:r w:rsidRPr="000730BD">
        <w:rPr>
          <w:b/>
        </w:rPr>
        <w:t>Reference:</w:t>
      </w:r>
      <w:r>
        <w:t xml:space="preserve"> O’Toole, GA and R. Kolter 1998 </w:t>
      </w:r>
      <w:r>
        <w:rPr>
          <w:i/>
        </w:rPr>
        <w:t xml:space="preserve">Initiation of biofilm formation in </w:t>
      </w:r>
      <w:r>
        <w:t xml:space="preserve">Pseudomonas </w:t>
      </w:r>
      <w:r w:rsidRPr="000730BD">
        <w:rPr>
          <w:i/>
        </w:rPr>
        <w:t>fluorescens</w:t>
      </w:r>
      <w:r>
        <w:rPr>
          <w:i/>
        </w:rPr>
        <w:t xml:space="preserve"> WCS365 proceeds via multiple, convergent signaling pathways: a genetic analysis</w:t>
      </w:r>
      <w:r w:rsidRPr="000730BD">
        <w:t>. Mol.</w:t>
      </w:r>
      <w:r>
        <w:t xml:space="preserve"> Micro</w:t>
      </w:r>
      <w:r>
        <w:t xml:space="preserve">biol. </w:t>
      </w:r>
      <w:r>
        <w:rPr>
          <w:b/>
        </w:rPr>
        <w:t>28</w:t>
      </w:r>
      <w:r>
        <w:t xml:space="preserve">(3): 449-461 </w:t>
      </w:r>
    </w:p>
    <w:p w:rsidR="000730BD" w:rsidRDefault="001A3D9B">
      <w:r>
        <w:t xml:space="preserve">See also (for overview of arbitrary PCR): Caetano-Annolles, G. 1993 </w:t>
      </w:r>
      <w:r>
        <w:rPr>
          <w:i/>
        </w:rPr>
        <w:t>Amplifying DNA with arbitrary oligonucleotide primers</w:t>
      </w:r>
      <w:r>
        <w:t xml:space="preserve">. PCR Methods Appl. </w:t>
      </w:r>
      <w:r>
        <w:rPr>
          <w:b/>
        </w:rPr>
        <w:t>3</w:t>
      </w:r>
      <w:r>
        <w:t>:85-94</w:t>
      </w:r>
    </w:p>
    <w:p w:rsidR="000730BD" w:rsidRPr="000730BD" w:rsidRDefault="001A3D9B">
      <w:r>
        <w:t xml:space="preserve">See also (for “improved” method that I haven’t tried myself): Das, S. </w:t>
      </w:r>
      <w:r>
        <w:rPr>
          <w:i/>
        </w:rPr>
        <w:t>et al.</w:t>
      </w:r>
      <w:r>
        <w:t xml:space="preserve"> 2005 </w:t>
      </w:r>
      <w:r>
        <w:rPr>
          <w:i/>
        </w:rPr>
        <w:t xml:space="preserve">An </w:t>
      </w:r>
      <w:r>
        <w:rPr>
          <w:i/>
        </w:rPr>
        <w:t>improved arbitrary primed PCR method for rapid characterization of transposon insertion sites</w:t>
      </w:r>
      <w:r>
        <w:t xml:space="preserve">. J. Microbiol. Methods </w:t>
      </w:r>
      <w:r>
        <w:rPr>
          <w:b/>
        </w:rPr>
        <w:t>63</w:t>
      </w:r>
      <w:r>
        <w:t>:89-94</w:t>
      </w:r>
    </w:p>
    <w:p w:rsidR="000730BD" w:rsidRDefault="001A3D9B"/>
    <w:p w:rsidR="000730BD" w:rsidRDefault="001A3D9B">
      <w:r>
        <w:t>Arbitrary primers:</w:t>
      </w:r>
    </w:p>
    <w:p w:rsidR="000730BD" w:rsidRDefault="001A3D9B">
      <w:r>
        <w:t>ARB1: GGCCACGCGTCGACTAGTACNNNNNNNNNNGATAT</w:t>
      </w:r>
    </w:p>
    <w:p w:rsidR="000730BD" w:rsidRDefault="001A3D9B">
      <w:r>
        <w:t>ARB2: GGCCACGCGTCGACTAGTAC</w:t>
      </w:r>
    </w:p>
    <w:p w:rsidR="000730BD" w:rsidRDefault="001A3D9B">
      <w:r>
        <w:t>ARB6: GGCCACGCGTCGACTAGTACNNNNNNNNNNACGCC</w:t>
      </w:r>
    </w:p>
    <w:p w:rsidR="000730BD" w:rsidRDefault="001A3D9B"/>
    <w:p w:rsidR="000730BD" w:rsidRDefault="001A3D9B">
      <w:r>
        <w:t xml:space="preserve">Specific primers: </w:t>
      </w:r>
    </w:p>
    <w:p w:rsidR="000730BD" w:rsidRDefault="001A3D9B">
      <w:r>
        <w:t>Design them about 50-100 bp apart, in the same orientation (towards sequence of interest); 24 nt-long works well for some reason. The primer furthest away from the sequence of interest is referred to as the “internal specific primer” a</w:t>
      </w:r>
      <w:r>
        <w:t>nd one closest to the sequence of interest is referred to as the “external specific primer.”</w:t>
      </w:r>
    </w:p>
    <w:p w:rsidR="000730BD" w:rsidRDefault="001A3D9B"/>
    <w:p w:rsidR="000730BD" w:rsidRPr="000730BD" w:rsidRDefault="001A3D9B">
      <w:pPr>
        <w:rPr>
          <w:b/>
        </w:rPr>
      </w:pPr>
      <w:r w:rsidRPr="000730BD">
        <w:rPr>
          <w:b/>
        </w:rPr>
        <w:t>Protocol</w:t>
      </w:r>
    </w:p>
    <w:p w:rsidR="000730BD" w:rsidRPr="000730BD" w:rsidRDefault="001A3D9B">
      <w:pPr>
        <w:rPr>
          <w:b/>
        </w:rPr>
      </w:pPr>
      <w:r w:rsidRPr="000730BD">
        <w:rPr>
          <w:b/>
        </w:rPr>
        <w:t>I.  Isolate chromosomal DNA</w:t>
      </w:r>
    </w:p>
    <w:p w:rsidR="000730BD" w:rsidRDefault="001A3D9B">
      <w:r>
        <w:t>O’Toole paper says that adding overnight culture directly to PCR as template works too.</w:t>
      </w:r>
    </w:p>
    <w:p w:rsidR="000730BD" w:rsidRDefault="001A3D9B"/>
    <w:p w:rsidR="000730BD" w:rsidRPr="000730BD" w:rsidRDefault="001A3D9B">
      <w:pPr>
        <w:rPr>
          <w:b/>
        </w:rPr>
      </w:pPr>
      <w:r w:rsidRPr="000730BD">
        <w:rPr>
          <w:b/>
        </w:rPr>
        <w:t>II.  PCR #1</w:t>
      </w:r>
    </w:p>
    <w:p w:rsidR="000730BD" w:rsidRDefault="001A3D9B">
      <w:r>
        <w:t xml:space="preserve">Set up a PCR with a Taq </w:t>
      </w:r>
      <w:r>
        <w:t xml:space="preserve">polymerase using manufacturer’s recommendations except use 10X Arb1 primer concentration (since it is a pool of primers, really, due to randomized region). [O’Toole paper uses Vent… I’ve always used a Taq and had success]. Can do 50 </w:t>
      </w:r>
      <w:r w:rsidRPr="000730BD">
        <w:rPr>
          <w:rFonts w:ascii="Symbol" w:hAnsi="Symbol"/>
        </w:rPr>
        <w:t></w:t>
      </w:r>
      <w:r>
        <w:t xml:space="preserve">l reaction instead of </w:t>
      </w:r>
      <w:r>
        <w:t xml:space="preserve">25 </w:t>
      </w:r>
      <w:r w:rsidRPr="000730BD">
        <w:rPr>
          <w:rFonts w:ascii="Symbol" w:hAnsi="Symbol"/>
        </w:rPr>
        <w:t></w:t>
      </w:r>
      <w:r>
        <w:t>l.</w:t>
      </w:r>
    </w:p>
    <w:p w:rsidR="000730BD" w:rsidRDefault="001A3D9B">
      <w:r>
        <w:t>E.g. for Biolase</w:t>
      </w:r>
    </w:p>
    <w:p w:rsidR="000730BD" w:rsidRDefault="001A3D9B" w:rsidP="000730BD">
      <w:pPr>
        <w:ind w:left="720"/>
      </w:pPr>
      <w:r>
        <w:t xml:space="preserve">0.75 </w:t>
      </w:r>
      <w:r w:rsidRPr="001D1C78">
        <w:rPr>
          <w:rFonts w:ascii="Symbol" w:hAnsi="Symbol"/>
        </w:rPr>
        <w:t></w:t>
      </w:r>
      <w:r>
        <w:t xml:space="preserve">L genomic DNA (0.05 – 0.5 </w:t>
      </w:r>
      <w:r>
        <w:rPr>
          <w:rFonts w:ascii="Symbol" w:hAnsi="Symbol"/>
        </w:rPr>
        <w:t></w:t>
      </w:r>
      <w:r>
        <w:t xml:space="preserve">g total) (or add 2.5 </w:t>
      </w:r>
      <w:r w:rsidRPr="000730BD">
        <w:rPr>
          <w:rFonts w:ascii="Symbol" w:hAnsi="Symbol"/>
        </w:rPr>
        <w:t></w:t>
      </w:r>
      <w:r>
        <w:t>l overnight culture as template)</w:t>
      </w:r>
    </w:p>
    <w:p w:rsidR="000730BD" w:rsidRDefault="001A3D9B" w:rsidP="000730BD">
      <w:pPr>
        <w:ind w:firstLine="720"/>
      </w:pPr>
      <w:r>
        <w:t xml:space="preserve">0.5 </w:t>
      </w:r>
      <w:r>
        <w:rPr>
          <w:rFonts w:ascii="Symbol" w:hAnsi="Symbol"/>
        </w:rPr>
        <w:t></w:t>
      </w:r>
      <w:r>
        <w:t xml:space="preserve">l </w:t>
      </w:r>
      <w:r>
        <w:tab/>
        <w:t>10 mM dNTPs</w:t>
      </w:r>
    </w:p>
    <w:p w:rsidR="000730BD" w:rsidRDefault="001A3D9B" w:rsidP="000730BD">
      <w:pPr>
        <w:ind w:firstLine="720"/>
      </w:pPr>
      <w:r>
        <w:t xml:space="preserve">2.5 </w:t>
      </w:r>
      <w:r>
        <w:rPr>
          <w:rFonts w:ascii="Symbol" w:hAnsi="Symbol"/>
        </w:rPr>
        <w:t></w:t>
      </w:r>
      <w:r>
        <w:t xml:space="preserve">l </w:t>
      </w:r>
      <w:r>
        <w:tab/>
        <w:t>10X buffer</w:t>
      </w:r>
    </w:p>
    <w:p w:rsidR="000730BD" w:rsidRDefault="001A3D9B" w:rsidP="000730BD">
      <w:pPr>
        <w:ind w:firstLine="720"/>
      </w:pPr>
      <w:r>
        <w:t xml:space="preserve">1 </w:t>
      </w:r>
      <w:r>
        <w:rPr>
          <w:rFonts w:ascii="Symbol" w:hAnsi="Symbol"/>
        </w:rPr>
        <w:t></w:t>
      </w:r>
      <w:r>
        <w:t xml:space="preserve">l </w:t>
      </w:r>
      <w:r>
        <w:tab/>
        <w:t>50 mM MgCl</w:t>
      </w:r>
      <w:r>
        <w:rPr>
          <w:vertAlign w:val="subscript"/>
        </w:rPr>
        <w:t xml:space="preserve">2 </w:t>
      </w:r>
    </w:p>
    <w:p w:rsidR="000730BD" w:rsidRDefault="001A3D9B" w:rsidP="000730BD">
      <w:pPr>
        <w:ind w:firstLine="720"/>
      </w:pPr>
      <w:r>
        <w:t xml:space="preserve">2 </w:t>
      </w:r>
      <w:r>
        <w:rPr>
          <w:rFonts w:ascii="Symbol" w:hAnsi="Symbol"/>
        </w:rPr>
        <w:t></w:t>
      </w:r>
      <w:r>
        <w:t xml:space="preserve">l </w:t>
      </w:r>
      <w:r>
        <w:tab/>
        <w:t xml:space="preserve">50 </w:t>
      </w:r>
      <w:r>
        <w:rPr>
          <w:rFonts w:ascii="Symbol" w:hAnsi="Symbol"/>
        </w:rPr>
        <w:t></w:t>
      </w:r>
      <w:r>
        <w:t>M ARB1 primers (can try ARB6 primers if ARB1 doesn’t work)</w:t>
      </w:r>
    </w:p>
    <w:p w:rsidR="000730BD" w:rsidRDefault="001A3D9B" w:rsidP="000730BD">
      <w:pPr>
        <w:ind w:firstLine="720"/>
      </w:pPr>
      <w:r>
        <w:t xml:space="preserve">2 </w:t>
      </w:r>
      <w:r>
        <w:rPr>
          <w:rFonts w:ascii="Symbol" w:hAnsi="Symbol"/>
        </w:rPr>
        <w:t></w:t>
      </w:r>
      <w:r>
        <w:t xml:space="preserve">l </w:t>
      </w:r>
      <w:r>
        <w:tab/>
        <w:t xml:space="preserve">5 </w:t>
      </w:r>
      <w:r>
        <w:rPr>
          <w:rFonts w:ascii="Symbol" w:hAnsi="Symbol"/>
        </w:rPr>
        <w:t></w:t>
      </w:r>
      <w:r>
        <w:t>M intern</w:t>
      </w:r>
      <w:r>
        <w:t xml:space="preserve">al specific primer </w:t>
      </w:r>
    </w:p>
    <w:p w:rsidR="000730BD" w:rsidRDefault="001A3D9B" w:rsidP="000730BD">
      <w:pPr>
        <w:ind w:left="720"/>
      </w:pPr>
      <w:r>
        <w:t xml:space="preserve">0.25 </w:t>
      </w:r>
      <w:r>
        <w:rPr>
          <w:rFonts w:ascii="Symbol" w:hAnsi="Symbol"/>
        </w:rPr>
        <w:t></w:t>
      </w:r>
      <w:r>
        <w:t>l  Biolase Polymerase</w:t>
      </w:r>
    </w:p>
    <w:p w:rsidR="000730BD" w:rsidRDefault="001A3D9B" w:rsidP="000730BD">
      <w:pPr>
        <w:ind w:firstLine="720"/>
      </w:pPr>
      <w:r w:rsidRPr="001D1C78">
        <w:rPr>
          <w:u w:val="single"/>
        </w:rPr>
        <w:t xml:space="preserve">16 </w:t>
      </w:r>
      <w:r w:rsidRPr="001D1C78">
        <w:rPr>
          <w:rFonts w:ascii="Symbol" w:hAnsi="Symbol"/>
          <w:u w:val="single"/>
        </w:rPr>
        <w:t></w:t>
      </w:r>
      <w:r w:rsidRPr="001D1C78">
        <w:rPr>
          <w:u w:val="single"/>
        </w:rPr>
        <w:t xml:space="preserve">l </w:t>
      </w:r>
      <w:r>
        <w:tab/>
        <w:t>dH</w:t>
      </w:r>
      <w:r>
        <w:rPr>
          <w:vertAlign w:val="subscript"/>
        </w:rPr>
        <w:t>2</w:t>
      </w:r>
      <w:r>
        <w:t>0</w:t>
      </w:r>
    </w:p>
    <w:p w:rsidR="000730BD" w:rsidRDefault="001A3D9B" w:rsidP="000730BD">
      <w:pPr>
        <w:ind w:left="1080" w:hanging="360"/>
      </w:pPr>
      <w:r>
        <w:t xml:space="preserve">25 </w:t>
      </w:r>
      <w:r>
        <w:rPr>
          <w:rFonts w:ascii="Symbol" w:hAnsi="Symbol"/>
        </w:rPr>
        <w:t></w:t>
      </w:r>
      <w:r>
        <w:t>l</w:t>
      </w:r>
    </w:p>
    <w:p w:rsidR="000730BD" w:rsidRDefault="001A3D9B"/>
    <w:p w:rsidR="000730BD" w:rsidRDefault="001A3D9B">
      <w:r>
        <w:t>Thermocycler program</w:t>
      </w:r>
    </w:p>
    <w:p w:rsidR="000730BD" w:rsidRDefault="001A3D9B">
      <w:r>
        <w:tab/>
        <w:t>95°C   5’</w:t>
      </w:r>
    </w:p>
    <w:p w:rsidR="000730BD" w:rsidRDefault="001A3D9B">
      <w:r>
        <w:tab/>
        <w:t xml:space="preserve">5-6x    </w:t>
      </w:r>
      <w:r>
        <w:tab/>
        <w:t>94°C 30” (I’ve used 5x exclusively, but 6x is directed in O’Toole paper)</w:t>
      </w:r>
      <w:bookmarkStart w:id="0" w:name="_GoBack"/>
      <w:bookmarkEnd w:id="0"/>
    </w:p>
    <w:p w:rsidR="000730BD" w:rsidRDefault="001A3D9B">
      <w:r>
        <w:tab/>
        <w:t xml:space="preserve">        </w:t>
      </w:r>
      <w:r>
        <w:tab/>
        <w:t>30°C 30”</w:t>
      </w:r>
    </w:p>
    <w:p w:rsidR="000730BD" w:rsidRDefault="001A3D9B">
      <w:r>
        <w:tab/>
        <w:t xml:space="preserve">        </w:t>
      </w:r>
      <w:r>
        <w:tab/>
        <w:t>72°C 1-1.5’ (I’ve always used 1’… maybe use 1</w:t>
      </w:r>
      <w:r>
        <w:t>.5’ for proof-reading polymerase)</w:t>
      </w:r>
    </w:p>
    <w:p w:rsidR="000730BD" w:rsidRDefault="001A3D9B">
      <w:r>
        <w:tab/>
        <w:t xml:space="preserve">30x  </w:t>
      </w:r>
      <w:r>
        <w:tab/>
        <w:t>94°C 30”</w:t>
      </w:r>
    </w:p>
    <w:p w:rsidR="000730BD" w:rsidRDefault="001A3D9B" w:rsidP="000730BD">
      <w:pPr>
        <w:ind w:left="720" w:firstLine="720"/>
      </w:pPr>
      <w:r>
        <w:t>45-55°C 30” (I’ve used 55°C exclusively, but 45°C is directed in the O’Toole paper)</w:t>
      </w:r>
    </w:p>
    <w:p w:rsidR="000730BD" w:rsidRDefault="001A3D9B">
      <w:r>
        <w:tab/>
      </w:r>
      <w:r>
        <w:tab/>
        <w:t>72°C 1-2’ (I’ve always used 1’… maybe use 2’ for proof-reading polymerase)</w:t>
      </w:r>
    </w:p>
    <w:p w:rsidR="000730BD" w:rsidRDefault="001A3D9B">
      <w:r>
        <w:tab/>
        <w:t>72°C 5’</w:t>
      </w:r>
    </w:p>
    <w:p w:rsidR="000730BD" w:rsidRDefault="001A3D9B"/>
    <w:p w:rsidR="000730BD" w:rsidRPr="000730BD" w:rsidRDefault="001A3D9B">
      <w:pPr>
        <w:rPr>
          <w:b/>
        </w:rPr>
      </w:pPr>
      <w:r w:rsidRPr="000730BD">
        <w:rPr>
          <w:b/>
        </w:rPr>
        <w:t xml:space="preserve">III.  PCR #2 </w:t>
      </w:r>
    </w:p>
    <w:p w:rsidR="000730BD" w:rsidRDefault="001A3D9B">
      <w:r>
        <w:t>Again set up a PCR wi</w:t>
      </w:r>
      <w:r>
        <w:t xml:space="preserve">th a Taq polymerase using manufacturer’s recommendations except use 10X Arb2 primer concentration (not sure why in this case… 1X should work). The template is the PCR #1 </w:t>
      </w:r>
      <w:r>
        <w:lastRenderedPageBreak/>
        <w:t>(don’t need to clean it up first… it will still have some of the other primers around,</w:t>
      </w:r>
      <w:r>
        <w:t xml:space="preserve"> and that’s okay; but Das </w:t>
      </w:r>
      <w:r>
        <w:rPr>
          <w:i/>
        </w:rPr>
        <w:t>et al.</w:t>
      </w:r>
      <w:r>
        <w:t xml:space="preserve"> do suggest PCR cleanup) [O’Toole paper uses Vent… I’ve always used a Taq and had success].</w:t>
      </w:r>
      <w:r w:rsidRPr="000730BD">
        <w:t xml:space="preserve"> </w:t>
      </w:r>
      <w:r>
        <w:t xml:space="preserve">Can do 50 </w:t>
      </w:r>
      <w:r w:rsidRPr="000730BD">
        <w:rPr>
          <w:rFonts w:ascii="Symbol" w:hAnsi="Symbol"/>
        </w:rPr>
        <w:t></w:t>
      </w:r>
      <w:r>
        <w:t xml:space="preserve">l reaction instead of 25 </w:t>
      </w:r>
      <w:r w:rsidRPr="000730BD">
        <w:rPr>
          <w:rFonts w:ascii="Symbol" w:hAnsi="Symbol"/>
        </w:rPr>
        <w:t></w:t>
      </w:r>
      <w:r>
        <w:t>l.</w:t>
      </w:r>
    </w:p>
    <w:p w:rsidR="000730BD" w:rsidRDefault="001A3D9B">
      <w:r>
        <w:t>E.g. for Biolase</w:t>
      </w:r>
    </w:p>
    <w:p w:rsidR="000730BD" w:rsidRDefault="001A3D9B" w:rsidP="000730BD">
      <w:pPr>
        <w:ind w:left="720"/>
      </w:pPr>
      <w:r>
        <w:t>0.75</w:t>
      </w:r>
      <w:r w:rsidRPr="001D1C78">
        <w:rPr>
          <w:rFonts w:ascii="Symbol" w:hAnsi="Symbol"/>
        </w:rPr>
        <w:t></w:t>
      </w:r>
      <w:r>
        <w:t>L PCR #1 product</w:t>
      </w:r>
    </w:p>
    <w:p w:rsidR="000730BD" w:rsidRDefault="001A3D9B" w:rsidP="000730BD">
      <w:pPr>
        <w:ind w:firstLine="720"/>
      </w:pPr>
      <w:r>
        <w:t xml:space="preserve">0.5 </w:t>
      </w:r>
      <w:r>
        <w:rPr>
          <w:rFonts w:ascii="Symbol" w:hAnsi="Symbol"/>
        </w:rPr>
        <w:t></w:t>
      </w:r>
      <w:r>
        <w:t xml:space="preserve">l </w:t>
      </w:r>
      <w:r>
        <w:tab/>
        <w:t>10 mM dNTPs</w:t>
      </w:r>
    </w:p>
    <w:p w:rsidR="000730BD" w:rsidRDefault="001A3D9B" w:rsidP="000730BD">
      <w:pPr>
        <w:ind w:firstLine="720"/>
      </w:pPr>
      <w:r>
        <w:t xml:space="preserve">2.5 </w:t>
      </w:r>
      <w:r>
        <w:rPr>
          <w:rFonts w:ascii="Symbol" w:hAnsi="Symbol"/>
        </w:rPr>
        <w:t></w:t>
      </w:r>
      <w:r>
        <w:t xml:space="preserve">l </w:t>
      </w:r>
      <w:r>
        <w:tab/>
        <w:t>10X buffer</w:t>
      </w:r>
    </w:p>
    <w:p w:rsidR="000730BD" w:rsidRDefault="001A3D9B" w:rsidP="000730BD">
      <w:pPr>
        <w:ind w:firstLine="720"/>
      </w:pPr>
      <w:r>
        <w:t xml:space="preserve">1 </w:t>
      </w:r>
      <w:r>
        <w:rPr>
          <w:rFonts w:ascii="Symbol" w:hAnsi="Symbol"/>
        </w:rPr>
        <w:t></w:t>
      </w:r>
      <w:r>
        <w:t xml:space="preserve">l </w:t>
      </w:r>
      <w:r>
        <w:tab/>
        <w:t>50 mM Mg</w:t>
      </w:r>
      <w:r>
        <w:t>Cl</w:t>
      </w:r>
      <w:r>
        <w:rPr>
          <w:vertAlign w:val="subscript"/>
        </w:rPr>
        <w:t xml:space="preserve">2 </w:t>
      </w:r>
    </w:p>
    <w:p w:rsidR="000730BD" w:rsidRDefault="001A3D9B" w:rsidP="000730BD">
      <w:pPr>
        <w:ind w:firstLine="720"/>
      </w:pPr>
      <w:r>
        <w:t xml:space="preserve">2 </w:t>
      </w:r>
      <w:r>
        <w:rPr>
          <w:rFonts w:ascii="Symbol" w:hAnsi="Symbol"/>
        </w:rPr>
        <w:t></w:t>
      </w:r>
      <w:r>
        <w:t xml:space="preserve">l </w:t>
      </w:r>
      <w:r>
        <w:tab/>
        <w:t xml:space="preserve">50 </w:t>
      </w:r>
      <w:r>
        <w:rPr>
          <w:rFonts w:ascii="Symbol" w:hAnsi="Symbol"/>
        </w:rPr>
        <w:t></w:t>
      </w:r>
      <w:r>
        <w:t>M ARB 2 primers</w:t>
      </w:r>
    </w:p>
    <w:p w:rsidR="000730BD" w:rsidRDefault="001A3D9B" w:rsidP="000730BD">
      <w:pPr>
        <w:ind w:firstLine="720"/>
      </w:pPr>
      <w:r>
        <w:t xml:space="preserve">2 </w:t>
      </w:r>
      <w:r>
        <w:rPr>
          <w:rFonts w:ascii="Symbol" w:hAnsi="Symbol"/>
        </w:rPr>
        <w:t></w:t>
      </w:r>
      <w:r>
        <w:t xml:space="preserve">l </w:t>
      </w:r>
      <w:r>
        <w:tab/>
        <w:t xml:space="preserve">5 </w:t>
      </w:r>
      <w:r>
        <w:rPr>
          <w:rFonts w:ascii="Symbol" w:hAnsi="Symbol"/>
        </w:rPr>
        <w:t></w:t>
      </w:r>
      <w:r>
        <w:t xml:space="preserve">M external specific primer </w:t>
      </w:r>
    </w:p>
    <w:p w:rsidR="000730BD" w:rsidRDefault="001A3D9B" w:rsidP="000730BD">
      <w:pPr>
        <w:ind w:left="720"/>
      </w:pPr>
      <w:r>
        <w:t xml:space="preserve">0.25 </w:t>
      </w:r>
      <w:r>
        <w:rPr>
          <w:rFonts w:ascii="Symbol" w:hAnsi="Symbol"/>
        </w:rPr>
        <w:t></w:t>
      </w:r>
      <w:r>
        <w:t>l  Biolase Polymerase</w:t>
      </w:r>
    </w:p>
    <w:p w:rsidR="000730BD" w:rsidRDefault="001A3D9B" w:rsidP="000730BD">
      <w:pPr>
        <w:ind w:firstLine="720"/>
      </w:pPr>
      <w:r w:rsidRPr="001D1C78">
        <w:rPr>
          <w:u w:val="single"/>
        </w:rPr>
        <w:t xml:space="preserve">16 </w:t>
      </w:r>
      <w:r w:rsidRPr="001D1C78">
        <w:rPr>
          <w:rFonts w:ascii="Symbol" w:hAnsi="Symbol"/>
          <w:u w:val="single"/>
        </w:rPr>
        <w:t></w:t>
      </w:r>
      <w:r w:rsidRPr="001D1C78">
        <w:rPr>
          <w:u w:val="single"/>
        </w:rPr>
        <w:t xml:space="preserve">l </w:t>
      </w:r>
      <w:r>
        <w:tab/>
        <w:t>dH</w:t>
      </w:r>
      <w:r>
        <w:rPr>
          <w:vertAlign w:val="subscript"/>
        </w:rPr>
        <w:t>2</w:t>
      </w:r>
      <w:r>
        <w:t>0</w:t>
      </w:r>
    </w:p>
    <w:p w:rsidR="000730BD" w:rsidRDefault="001A3D9B" w:rsidP="000730BD">
      <w:pPr>
        <w:ind w:left="1080" w:hanging="360"/>
      </w:pPr>
      <w:r>
        <w:t xml:space="preserve">25 </w:t>
      </w:r>
      <w:r>
        <w:rPr>
          <w:rFonts w:ascii="Symbol" w:hAnsi="Symbol"/>
        </w:rPr>
        <w:t></w:t>
      </w:r>
      <w:r>
        <w:t>l</w:t>
      </w:r>
    </w:p>
    <w:p w:rsidR="000730BD" w:rsidRDefault="001A3D9B"/>
    <w:p w:rsidR="000730BD" w:rsidRDefault="001A3D9B">
      <w:r>
        <w:t>Thermocycler program</w:t>
      </w:r>
    </w:p>
    <w:p w:rsidR="000730BD" w:rsidRDefault="001A3D9B">
      <w:r>
        <w:tab/>
        <w:t xml:space="preserve">30x  </w:t>
      </w:r>
      <w:r>
        <w:tab/>
        <w:t>94°C 30”</w:t>
      </w:r>
    </w:p>
    <w:p w:rsidR="000730BD" w:rsidRDefault="001A3D9B">
      <w:r>
        <w:tab/>
        <w:t xml:space="preserve">        </w:t>
      </w:r>
      <w:r>
        <w:tab/>
        <w:t>45-55°C 30” (I’ve used 55°C exclusively, but 45°C is directed in the O’Toole paper)</w:t>
      </w:r>
    </w:p>
    <w:p w:rsidR="000730BD" w:rsidRDefault="001A3D9B">
      <w:r>
        <w:tab/>
        <w:t xml:space="preserve">         </w:t>
      </w:r>
      <w:r>
        <w:t xml:space="preserve">   72°C 1’</w:t>
      </w:r>
    </w:p>
    <w:p w:rsidR="000730BD" w:rsidRDefault="001A3D9B">
      <w:r>
        <w:tab/>
        <w:t>72°C 5’</w:t>
      </w:r>
    </w:p>
    <w:p w:rsidR="000730BD" w:rsidRDefault="001A3D9B"/>
    <w:p w:rsidR="000730BD" w:rsidRDefault="001A3D9B">
      <w:r>
        <w:t xml:space="preserve">Clean up product from PCR #2 using Qiagen PCR purification kit (etc.) in preparation for sequencing. Run ~5-10 </w:t>
      </w:r>
      <w:r>
        <w:rPr>
          <w:rFonts w:ascii="Symbol" w:hAnsi="Symbol"/>
        </w:rPr>
        <w:t></w:t>
      </w:r>
      <w:r>
        <w:t>l of PCR #1 and PCR #2 products on a 2% gel. PCR #1 should give a few bands and PCR#2 should give fewer. Don’t despair if y</w:t>
      </w:r>
      <w:r>
        <w:t xml:space="preserve">ou don’t see much for PCR #2… you may still get usable sequence. Running the gel is more for your own records. </w:t>
      </w:r>
    </w:p>
    <w:p w:rsidR="000730BD" w:rsidRDefault="001A3D9B"/>
    <w:p w:rsidR="000730BD" w:rsidRPr="000730BD" w:rsidRDefault="001A3D9B">
      <w:pPr>
        <w:rPr>
          <w:b/>
        </w:rPr>
      </w:pPr>
      <w:r w:rsidRPr="000730BD">
        <w:rPr>
          <w:b/>
        </w:rPr>
        <w:t>IV. Sequencing</w:t>
      </w:r>
    </w:p>
    <w:p w:rsidR="000730BD" w:rsidRDefault="001A3D9B">
      <w:r>
        <w:t>Sequence cleaned up PCR #2 product as usual, using the external specific primer. If you set up your own sequencing reactions, he</w:t>
      </w:r>
      <w:r>
        <w:t>re is a sample protocol for Big Dye:</w:t>
      </w:r>
    </w:p>
    <w:p w:rsidR="000730BD" w:rsidRDefault="001A3D9B">
      <w:r>
        <w:t>Components</w:t>
      </w:r>
    </w:p>
    <w:p w:rsidR="000730BD" w:rsidRDefault="001A3D9B">
      <w:r>
        <w:tab/>
        <w:t xml:space="preserve">6 </w:t>
      </w:r>
      <w:r>
        <w:rPr>
          <w:rFonts w:ascii="Symbol" w:hAnsi="Symbol"/>
        </w:rPr>
        <w:t></w:t>
      </w:r>
      <w:r>
        <w:t>l PCR #2 product</w:t>
      </w:r>
    </w:p>
    <w:p w:rsidR="000730BD" w:rsidRDefault="001A3D9B">
      <w:r>
        <w:tab/>
        <w:t xml:space="preserve">4 </w:t>
      </w:r>
      <w:r>
        <w:rPr>
          <w:rFonts w:ascii="Symbol" w:hAnsi="Symbol"/>
        </w:rPr>
        <w:t></w:t>
      </w:r>
      <w:r>
        <w:t>l Big Dye Buffer</w:t>
      </w:r>
    </w:p>
    <w:p w:rsidR="000730BD" w:rsidRDefault="001A3D9B">
      <w:r>
        <w:tab/>
        <w:t xml:space="preserve">1 </w:t>
      </w:r>
      <w:r>
        <w:rPr>
          <w:rFonts w:ascii="Symbol" w:hAnsi="Symbol"/>
        </w:rPr>
        <w:t></w:t>
      </w:r>
      <w:r>
        <w:t>l External specific Primer</w:t>
      </w:r>
    </w:p>
    <w:p w:rsidR="000730BD" w:rsidRDefault="001A3D9B">
      <w:r>
        <w:tab/>
        <w:t xml:space="preserve">4 </w:t>
      </w:r>
      <w:r>
        <w:rPr>
          <w:rFonts w:ascii="Symbol" w:hAnsi="Symbol"/>
        </w:rPr>
        <w:t></w:t>
      </w:r>
      <w:r>
        <w:t>l Big Dye Polymerase</w:t>
      </w:r>
    </w:p>
    <w:p w:rsidR="000730BD" w:rsidRDefault="001A3D9B">
      <w:r>
        <w:tab/>
        <w:t xml:space="preserve">5 </w:t>
      </w:r>
      <w:r>
        <w:rPr>
          <w:rFonts w:ascii="Symbol" w:hAnsi="Symbol"/>
        </w:rPr>
        <w:t></w:t>
      </w:r>
      <w:r>
        <w:t>l dH</w:t>
      </w:r>
      <w:r>
        <w:rPr>
          <w:vertAlign w:val="subscript"/>
        </w:rPr>
        <w:t>2</w:t>
      </w:r>
      <w:r>
        <w:t xml:space="preserve">0 </w:t>
      </w:r>
    </w:p>
    <w:p w:rsidR="000730BD" w:rsidRDefault="001A3D9B">
      <w:r>
        <w:t>Thermocycler program</w:t>
      </w:r>
    </w:p>
    <w:p w:rsidR="000730BD" w:rsidRDefault="001A3D9B">
      <w:r>
        <w:tab/>
        <w:t>95°C 3’</w:t>
      </w:r>
    </w:p>
    <w:p w:rsidR="000730BD" w:rsidRDefault="001A3D9B">
      <w:r>
        <w:tab/>
        <w:t xml:space="preserve">35x  </w:t>
      </w:r>
      <w:r>
        <w:tab/>
        <w:t>95°C 20”</w:t>
      </w:r>
    </w:p>
    <w:p w:rsidR="000730BD" w:rsidRDefault="001A3D9B">
      <w:r>
        <w:tab/>
      </w:r>
      <w:r>
        <w:tab/>
        <w:t>45°C 30”</w:t>
      </w:r>
    </w:p>
    <w:p w:rsidR="000730BD" w:rsidRDefault="001A3D9B">
      <w:r>
        <w:tab/>
      </w:r>
      <w:r>
        <w:tab/>
        <w:t>60°C 2’</w:t>
      </w:r>
    </w:p>
    <w:p w:rsidR="000730BD" w:rsidRDefault="001A3D9B">
      <w:r>
        <w:tab/>
        <w:t>72°C 7’</w:t>
      </w:r>
    </w:p>
    <w:p w:rsidR="000730BD" w:rsidRDefault="001A3D9B">
      <w:r>
        <w:t>Remove unincorporated nucleotides and run through sequencing apparatus. C</w:t>
      </w:r>
      <w:r>
        <w:t xml:space="preserve">ross fingers. If the sequencing doesn’t work the first time, try using ARB6 in PCR #1 and/or just try PCR #2 again.       </w:t>
      </w:r>
    </w:p>
    <w:sectPr w:rsidR="000730BD" w:rsidSect="000730BD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53FE1"/>
    <w:multiLevelType w:val="hybridMultilevel"/>
    <w:tmpl w:val="EF6C9A16"/>
    <w:lvl w:ilvl="0" w:tplc="57487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A8C0959"/>
    <w:multiLevelType w:val="hybridMultilevel"/>
    <w:tmpl w:val="BE72BD0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072139"/>
    <w:multiLevelType w:val="hybridMultilevel"/>
    <w:tmpl w:val="79821156"/>
    <w:lvl w:ilvl="0" w:tplc="57487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78"/>
    <w:rsid w:val="001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5:chartTrackingRefBased/>
  <w15:docId w15:val="{B4CC38E8-E551-8D48-818E-4FB906B5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ARBITRARY PCR  (from George O’Toole, sent to Micky Thomas)</vt:lpstr>
    </vt:vector>
  </TitlesOfParts>
  <Company>UW-Madison Bacteriology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ARBITRARY PCR  (from George O’Toole, sent to Micky Thomas)</dc:title>
  <dc:subject/>
  <dc:creator>Heidi Goodrich-Blair</dc:creator>
  <cp:keywords/>
  <cp:lastModifiedBy>Kathryn Ramsey</cp:lastModifiedBy>
  <cp:revision>2</cp:revision>
  <cp:lastPrinted>2007-10-29T21:26:00Z</cp:lastPrinted>
  <dcterms:created xsi:type="dcterms:W3CDTF">2019-01-28T14:43:00Z</dcterms:created>
  <dcterms:modified xsi:type="dcterms:W3CDTF">2019-01-28T14:43:00Z</dcterms:modified>
</cp:coreProperties>
</file>