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449C" w14:textId="1FF21EDE" w:rsidR="00666EB5" w:rsidRPr="005904F9" w:rsidRDefault="00666EB5" w:rsidP="00666EB5">
      <w:pPr>
        <w:jc w:val="center"/>
        <w:rPr>
          <w:rFonts w:ascii="Georgia" w:hAnsi="Georgia"/>
        </w:rPr>
      </w:pPr>
      <w:r w:rsidRPr="005904F9">
        <w:rPr>
          <w:rFonts w:ascii="Georgia" w:hAnsi="Georgia"/>
        </w:rPr>
        <w:t>Research Outline</w:t>
      </w:r>
    </w:p>
    <w:p w14:paraId="08E81772" w14:textId="28833F4E" w:rsidR="007B3619" w:rsidRPr="005904F9" w:rsidRDefault="00666EB5">
      <w:pPr>
        <w:rPr>
          <w:rFonts w:ascii="Georgia" w:hAnsi="Georgia"/>
        </w:rPr>
      </w:pPr>
      <w:r w:rsidRPr="00F34742">
        <w:rPr>
          <w:rFonts w:ascii="Georgia" w:hAnsi="Georgia"/>
          <w:b/>
          <w:bCs/>
        </w:rPr>
        <w:t>Project Name</w:t>
      </w:r>
      <w:r w:rsidR="00227445" w:rsidRPr="00F34742">
        <w:rPr>
          <w:rFonts w:ascii="Georgia" w:hAnsi="Georgia"/>
          <w:b/>
          <w:bCs/>
        </w:rPr>
        <w:t>:</w:t>
      </w:r>
      <w:r w:rsidRPr="005904F9">
        <w:rPr>
          <w:rFonts w:ascii="Georgia" w:hAnsi="Georgia"/>
        </w:rPr>
        <w:t xml:space="preserve"> </w:t>
      </w:r>
      <w:r w:rsidR="00F84B9E">
        <w:rPr>
          <w:rFonts w:ascii="Georgia" w:hAnsi="Georgia"/>
        </w:rPr>
        <w:t xml:space="preserve">Investigating </w:t>
      </w:r>
      <w:r w:rsidR="00227445">
        <w:rPr>
          <w:rFonts w:ascii="Georgia" w:hAnsi="Georgia"/>
        </w:rPr>
        <w:t xml:space="preserve">the </w:t>
      </w:r>
      <w:r w:rsidR="001B4F81">
        <w:rPr>
          <w:rFonts w:ascii="Georgia" w:hAnsi="Georgia"/>
        </w:rPr>
        <w:t>A</w:t>
      </w:r>
      <w:r w:rsidR="00227445">
        <w:rPr>
          <w:rFonts w:ascii="Georgia" w:hAnsi="Georgia"/>
        </w:rPr>
        <w:t xml:space="preserve">ntimicrobial </w:t>
      </w:r>
      <w:r w:rsidR="001B4F81">
        <w:rPr>
          <w:rFonts w:ascii="Georgia" w:hAnsi="Georgia"/>
        </w:rPr>
        <w:t>A</w:t>
      </w:r>
      <w:r w:rsidR="00227445">
        <w:rPr>
          <w:rFonts w:ascii="Georgia" w:hAnsi="Georgia"/>
        </w:rPr>
        <w:t>ctivity of the</w:t>
      </w:r>
      <w:r w:rsidR="00227445" w:rsidRPr="00227445">
        <w:rPr>
          <w:rFonts w:ascii="Georgia" w:hAnsi="Georgia"/>
        </w:rPr>
        <w:t xml:space="preserve"> </w:t>
      </w:r>
      <w:r w:rsidR="001B4F81">
        <w:rPr>
          <w:rFonts w:ascii="Georgia" w:hAnsi="Georgia"/>
        </w:rPr>
        <w:t>S</w:t>
      </w:r>
      <w:r w:rsidR="00227445">
        <w:rPr>
          <w:rFonts w:ascii="Georgia" w:hAnsi="Georgia"/>
        </w:rPr>
        <w:t xml:space="preserve">esquiterpene </w:t>
      </w:r>
      <w:r w:rsidR="001B4F81">
        <w:rPr>
          <w:rFonts w:ascii="Georgia" w:hAnsi="Georgia"/>
        </w:rPr>
        <w:t>L</w:t>
      </w:r>
      <w:r w:rsidR="00227445">
        <w:rPr>
          <w:rFonts w:ascii="Georgia" w:hAnsi="Georgia"/>
        </w:rPr>
        <w:t xml:space="preserve">actone </w:t>
      </w:r>
      <w:r w:rsidR="001B4F81">
        <w:rPr>
          <w:rFonts w:ascii="Georgia" w:hAnsi="Georgia"/>
        </w:rPr>
        <w:t>L</w:t>
      </w:r>
      <w:r w:rsidR="00F84B9E">
        <w:rPr>
          <w:rFonts w:ascii="Georgia" w:hAnsi="Georgia"/>
        </w:rPr>
        <w:t>aurenobiolide</w:t>
      </w:r>
    </w:p>
    <w:p w14:paraId="0AC474EB" w14:textId="554786E7" w:rsidR="00C82303" w:rsidRPr="005904F9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Description</w:t>
      </w:r>
      <w:r w:rsidRPr="005904F9">
        <w:rPr>
          <w:rFonts w:ascii="Georgia" w:hAnsi="Georgia"/>
        </w:rPr>
        <w:t xml:space="preserve"> – </w:t>
      </w:r>
      <w:r w:rsidR="001B4F81">
        <w:rPr>
          <w:rFonts w:ascii="Georgia" w:hAnsi="Georgia"/>
        </w:rPr>
        <w:t xml:space="preserve">We will </w:t>
      </w:r>
      <w:r w:rsidR="0015501E">
        <w:rPr>
          <w:rFonts w:ascii="Georgia" w:hAnsi="Georgia"/>
        </w:rPr>
        <w:t>investigate</w:t>
      </w:r>
      <w:r w:rsidR="001B4F81">
        <w:rPr>
          <w:rFonts w:ascii="Georgia" w:hAnsi="Georgia"/>
        </w:rPr>
        <w:t xml:space="preserve"> </w:t>
      </w:r>
      <w:r w:rsidR="001267C1">
        <w:rPr>
          <w:rFonts w:ascii="Georgia" w:hAnsi="Georgia"/>
        </w:rPr>
        <w:t xml:space="preserve">the effects of </w:t>
      </w:r>
      <w:r w:rsidR="001B4F81">
        <w:rPr>
          <w:rFonts w:ascii="Georgia" w:hAnsi="Georgia"/>
        </w:rPr>
        <w:t>laurenobiolide, a sesquiterpene lactone</w:t>
      </w:r>
      <w:r w:rsidR="001267C1">
        <w:rPr>
          <w:rFonts w:ascii="Georgia" w:hAnsi="Georgia"/>
        </w:rPr>
        <w:t>,</w:t>
      </w:r>
      <w:r w:rsidR="001B4F81">
        <w:rPr>
          <w:rFonts w:ascii="Georgia" w:hAnsi="Georgia"/>
        </w:rPr>
        <w:t xml:space="preserve"> </w:t>
      </w:r>
      <w:r w:rsidR="001267C1">
        <w:rPr>
          <w:rFonts w:ascii="Georgia" w:hAnsi="Georgia"/>
        </w:rPr>
        <w:t xml:space="preserve">on the growth of </w:t>
      </w:r>
      <w:r w:rsidR="001B4F81">
        <w:rPr>
          <w:rFonts w:ascii="Georgia" w:hAnsi="Georgia"/>
        </w:rPr>
        <w:t>three bacteria</w:t>
      </w:r>
      <w:r w:rsidR="00D050A2">
        <w:rPr>
          <w:rFonts w:ascii="Georgia" w:hAnsi="Georgia"/>
        </w:rPr>
        <w:t xml:space="preserve">l species: </w:t>
      </w:r>
      <w:r w:rsidR="00D050A2" w:rsidRPr="00F34742">
        <w:rPr>
          <w:rFonts w:ascii="Georgia" w:hAnsi="Georgia"/>
          <w:i/>
          <w:iCs/>
        </w:rPr>
        <w:t>Staphylococcus aureus</w:t>
      </w:r>
      <w:r w:rsidR="00D050A2">
        <w:rPr>
          <w:rFonts w:ascii="Georgia" w:hAnsi="Georgia"/>
        </w:rPr>
        <w:t xml:space="preserve">, </w:t>
      </w:r>
      <w:r w:rsidR="00D050A2" w:rsidRPr="00F34742">
        <w:rPr>
          <w:rFonts w:ascii="Georgia" w:hAnsi="Georgia"/>
          <w:i/>
          <w:iCs/>
        </w:rPr>
        <w:t>Escherichia coli</w:t>
      </w:r>
      <w:r w:rsidR="00D050A2">
        <w:rPr>
          <w:rFonts w:ascii="Georgia" w:hAnsi="Georgia"/>
        </w:rPr>
        <w:t xml:space="preserve">, and </w:t>
      </w:r>
      <w:r w:rsidR="00D050A2" w:rsidRPr="00F34742">
        <w:rPr>
          <w:rFonts w:ascii="Georgia" w:hAnsi="Georgia"/>
          <w:i/>
          <w:iCs/>
        </w:rPr>
        <w:t xml:space="preserve">Francisella tularensis </w:t>
      </w:r>
      <w:r w:rsidR="00D050A2" w:rsidRPr="00D61DA9">
        <w:rPr>
          <w:rFonts w:ascii="Georgia" w:hAnsi="Georgia"/>
        </w:rPr>
        <w:t xml:space="preserve">subspecies </w:t>
      </w:r>
      <w:r w:rsidR="00D050A2" w:rsidRPr="00F34742">
        <w:rPr>
          <w:rFonts w:ascii="Georgia" w:hAnsi="Georgia"/>
          <w:i/>
          <w:iCs/>
        </w:rPr>
        <w:t>holarctic</w:t>
      </w:r>
      <w:r w:rsidR="0015501E" w:rsidRPr="00F34742">
        <w:rPr>
          <w:rFonts w:ascii="Georgia" w:hAnsi="Georgia"/>
          <w:i/>
          <w:iCs/>
        </w:rPr>
        <w:t>a</w:t>
      </w:r>
      <w:r w:rsidR="0015501E">
        <w:rPr>
          <w:rFonts w:ascii="Georgia" w:hAnsi="Georgia"/>
        </w:rPr>
        <w:t>.</w:t>
      </w:r>
    </w:p>
    <w:p w14:paraId="37F56DE1" w14:textId="6F158CF2" w:rsidR="008B0A65" w:rsidRDefault="00666EB5" w:rsidP="00F34742">
      <w:r w:rsidRPr="000100A9">
        <w:rPr>
          <w:rFonts w:ascii="Georgia" w:hAnsi="Georgia"/>
          <w:b/>
          <w:bCs/>
        </w:rPr>
        <w:t>Background</w:t>
      </w:r>
      <w:r w:rsidR="000100A9">
        <w:rPr>
          <w:rFonts w:ascii="Georgia" w:hAnsi="Georgia"/>
          <w:b/>
          <w:bCs/>
        </w:rPr>
        <w:t xml:space="preserve"> </w:t>
      </w:r>
      <w:r w:rsidR="000100A9">
        <w:rPr>
          <w:rFonts w:ascii="Georgia" w:hAnsi="Georgia"/>
        </w:rPr>
        <w:t>–</w:t>
      </w:r>
      <w:r w:rsidR="000100A9" w:rsidRPr="00F34742">
        <w:rPr>
          <w:rFonts w:ascii="Georgia" w:hAnsi="Georgia"/>
        </w:rPr>
        <w:t xml:space="preserve">Laurenobiolide </w:t>
      </w:r>
      <w:r w:rsidR="00E21530">
        <w:rPr>
          <w:rFonts w:ascii="Georgia" w:hAnsi="Georgia"/>
        </w:rPr>
        <w:t>is a</w:t>
      </w:r>
      <w:r w:rsidR="00E21530" w:rsidRPr="00F34742">
        <w:rPr>
          <w:rFonts w:ascii="Georgia" w:hAnsi="Georgia"/>
        </w:rPr>
        <w:t xml:space="preserve"> </w:t>
      </w:r>
      <w:r w:rsidR="000100A9" w:rsidRPr="00F34742">
        <w:rPr>
          <w:rFonts w:ascii="Georgia" w:hAnsi="Georgia"/>
        </w:rPr>
        <w:t>known sesquiterpene lactone</w:t>
      </w:r>
      <w:r w:rsidR="0015501E" w:rsidRPr="00F34742">
        <w:rPr>
          <w:rFonts w:ascii="Georgia" w:hAnsi="Georgia"/>
        </w:rPr>
        <w:t xml:space="preserve"> isolated </w:t>
      </w:r>
      <w:r w:rsidR="00E21530">
        <w:rPr>
          <w:rFonts w:ascii="Georgia" w:hAnsi="Georgia"/>
        </w:rPr>
        <w:t xml:space="preserve">from the North American tulip tree </w:t>
      </w:r>
      <w:r w:rsidR="008B0A65" w:rsidRPr="00F34742">
        <w:rPr>
          <w:rFonts w:ascii="Georgia" w:hAnsi="Georgia"/>
          <w:i/>
          <w:iCs/>
        </w:rPr>
        <w:t>Liriodendron tulipifera</w:t>
      </w:r>
      <w:r w:rsidR="00E21530">
        <w:rPr>
          <w:rFonts w:ascii="Georgia" w:hAnsi="Georgia"/>
        </w:rPr>
        <w:t xml:space="preserve">. </w:t>
      </w:r>
      <w:r w:rsidR="00CE1AB3">
        <w:rPr>
          <w:rFonts w:ascii="Georgia" w:hAnsi="Georgia"/>
        </w:rPr>
        <w:t xml:space="preserve">It has known antimicrobial activity on Methicillin-resistant </w:t>
      </w:r>
      <w:r w:rsidR="00CE1AB3" w:rsidRPr="00F34742">
        <w:rPr>
          <w:rFonts w:ascii="Georgia" w:hAnsi="Georgia"/>
          <w:i/>
          <w:iCs/>
        </w:rPr>
        <w:t>Staphylococcus aure</w:t>
      </w:r>
      <w:r w:rsidR="00CE1AB3">
        <w:rPr>
          <w:rFonts w:ascii="Georgia" w:hAnsi="Georgia"/>
          <w:i/>
          <w:iCs/>
        </w:rPr>
        <w:t>u</w:t>
      </w:r>
      <w:r w:rsidR="00CE1AB3" w:rsidRPr="00F34742">
        <w:rPr>
          <w:rFonts w:ascii="Georgia" w:hAnsi="Georgia"/>
          <w:i/>
          <w:iCs/>
        </w:rPr>
        <w:t>s</w:t>
      </w:r>
      <w:r w:rsidR="00CE1AB3">
        <w:rPr>
          <w:rFonts w:ascii="Georgia" w:hAnsi="Georgia"/>
        </w:rPr>
        <w:t xml:space="preserve"> (MRSA) and is found to be most abundant in the twig bark</w:t>
      </w:r>
      <w:r w:rsidR="001267C1">
        <w:rPr>
          <w:rFonts w:ascii="Georgia" w:hAnsi="Georgia"/>
        </w:rPr>
        <w:t>.</w:t>
      </w:r>
      <w:r w:rsidR="00CE1AB3">
        <w:rPr>
          <w:rFonts w:ascii="Georgia" w:hAnsi="Georgia"/>
        </w:rPr>
        <w:t xml:space="preserve"> </w:t>
      </w:r>
      <w:r w:rsidR="00E21530">
        <w:rPr>
          <w:rFonts w:ascii="Georgia" w:hAnsi="Georgia"/>
        </w:rPr>
        <w:t xml:space="preserve">We are working with </w:t>
      </w:r>
      <w:r w:rsidR="001267C1">
        <w:rPr>
          <w:rFonts w:ascii="Georgia" w:hAnsi="Georgia"/>
        </w:rPr>
        <w:t>purified l</w:t>
      </w:r>
      <w:r w:rsidR="00E85D80">
        <w:rPr>
          <w:rFonts w:ascii="Georgia" w:hAnsi="Georgia"/>
        </w:rPr>
        <w:t>a</w:t>
      </w:r>
      <w:r w:rsidR="001267C1">
        <w:rPr>
          <w:rFonts w:ascii="Georgia" w:hAnsi="Georgia"/>
        </w:rPr>
        <w:t>urenobiolide</w:t>
      </w:r>
      <w:r w:rsidR="00E21530">
        <w:rPr>
          <w:rFonts w:ascii="Georgia" w:hAnsi="Georgia"/>
        </w:rPr>
        <w:t xml:space="preserve"> that was isolated </w:t>
      </w:r>
      <w:r w:rsidR="00135073">
        <w:rPr>
          <w:rFonts w:ascii="Georgia" w:hAnsi="Georgia"/>
        </w:rPr>
        <w:t xml:space="preserve">by </w:t>
      </w:r>
      <w:r w:rsidR="001267C1">
        <w:rPr>
          <w:rFonts w:ascii="Georgia" w:hAnsi="Georgia"/>
        </w:rPr>
        <w:t xml:space="preserve">Dr. Matthew </w:t>
      </w:r>
      <w:proofErr w:type="spellStart"/>
      <w:r w:rsidR="00135073">
        <w:rPr>
          <w:rFonts w:ascii="Georgia" w:hAnsi="Georgia"/>
        </w:rPr>
        <w:t>Bertin</w:t>
      </w:r>
      <w:r w:rsidR="001267C1">
        <w:rPr>
          <w:rFonts w:ascii="Georgia" w:hAnsi="Georgia"/>
        </w:rPr>
        <w:t>’s</w:t>
      </w:r>
      <w:proofErr w:type="spellEnd"/>
      <w:r w:rsidR="00135073">
        <w:rPr>
          <w:rFonts w:ascii="Georgia" w:hAnsi="Georgia"/>
        </w:rPr>
        <w:t xml:space="preserve"> lab </w:t>
      </w:r>
      <w:r w:rsidR="001267C1">
        <w:rPr>
          <w:rFonts w:ascii="Georgia" w:hAnsi="Georgia"/>
        </w:rPr>
        <w:t xml:space="preserve">at URI </w:t>
      </w:r>
      <w:r w:rsidR="00E21530">
        <w:rPr>
          <w:rFonts w:ascii="Georgia" w:hAnsi="Georgia"/>
        </w:rPr>
        <w:t>from the</w:t>
      </w:r>
      <w:r w:rsidR="00135073">
        <w:rPr>
          <w:rFonts w:ascii="Georgia" w:hAnsi="Georgia"/>
        </w:rPr>
        <w:t xml:space="preserve"> twigs of the </w:t>
      </w:r>
      <w:r w:rsidR="00135073" w:rsidRPr="00F34742">
        <w:rPr>
          <w:rFonts w:ascii="Georgia" w:hAnsi="Georgia"/>
          <w:i/>
          <w:iCs/>
        </w:rPr>
        <w:t xml:space="preserve">L. </w:t>
      </w:r>
      <w:r w:rsidR="001028A4" w:rsidRPr="001028A4">
        <w:rPr>
          <w:rFonts w:ascii="Georgia" w:hAnsi="Georgia"/>
          <w:i/>
          <w:iCs/>
        </w:rPr>
        <w:t>tulipifera</w:t>
      </w:r>
      <w:r w:rsidR="001267C1">
        <w:rPr>
          <w:rFonts w:ascii="Georgia" w:hAnsi="Georgia"/>
        </w:rPr>
        <w:t>. This molecule</w:t>
      </w:r>
      <w:r w:rsidR="00E85D80">
        <w:rPr>
          <w:rFonts w:ascii="Georgia" w:hAnsi="Georgia"/>
        </w:rPr>
        <w:t xml:space="preserve"> is also part of an</w:t>
      </w:r>
      <w:r w:rsidR="001267C1">
        <w:rPr>
          <w:rFonts w:ascii="Georgia" w:hAnsi="Georgia"/>
        </w:rPr>
        <w:t xml:space="preserve"> extract </w:t>
      </w:r>
      <w:r w:rsidR="00E85D80">
        <w:rPr>
          <w:rFonts w:ascii="Georgia" w:hAnsi="Georgia"/>
        </w:rPr>
        <w:t xml:space="preserve">found in </w:t>
      </w:r>
      <w:r w:rsidR="00135073">
        <w:rPr>
          <w:rFonts w:ascii="Georgia" w:hAnsi="Georgia"/>
        </w:rPr>
        <w:t xml:space="preserve">the </w:t>
      </w:r>
      <w:r w:rsidR="001028A4">
        <w:rPr>
          <w:rFonts w:ascii="Georgia" w:hAnsi="Georgia"/>
        </w:rPr>
        <w:t xml:space="preserve">Principal Rhode Island Secondary Metabolite (PRISM) library, a collection of extracts from specimens from the </w:t>
      </w:r>
      <w:r w:rsidR="00E21530">
        <w:rPr>
          <w:rFonts w:ascii="Georgia" w:hAnsi="Georgia"/>
        </w:rPr>
        <w:t xml:space="preserve">URI Heber W. </w:t>
      </w:r>
      <w:proofErr w:type="spellStart"/>
      <w:r w:rsidR="00E21530">
        <w:rPr>
          <w:rFonts w:ascii="Georgia" w:hAnsi="Georgia"/>
        </w:rPr>
        <w:t>Youngken</w:t>
      </w:r>
      <w:proofErr w:type="spellEnd"/>
      <w:r w:rsidR="00E21530">
        <w:rPr>
          <w:rFonts w:ascii="Georgia" w:hAnsi="Georgia"/>
        </w:rPr>
        <w:t xml:space="preserve"> Jr. Medicinal Garden</w:t>
      </w:r>
      <w:r w:rsidR="00135073">
        <w:rPr>
          <w:rFonts w:ascii="Georgia" w:hAnsi="Georgia"/>
        </w:rPr>
        <w:t>.</w:t>
      </w:r>
      <w:r w:rsidR="001706CC">
        <w:rPr>
          <w:rFonts w:ascii="Georgia" w:hAnsi="Georgia"/>
        </w:rPr>
        <w:t xml:space="preserve"> We will also be testing</w:t>
      </w:r>
      <w:r w:rsidR="00E85D80">
        <w:rPr>
          <w:rFonts w:ascii="Georgia" w:hAnsi="Georgia"/>
        </w:rPr>
        <w:t xml:space="preserve"> the antimicrobial activity of</w:t>
      </w:r>
      <w:r w:rsidR="001706CC">
        <w:rPr>
          <w:rFonts w:ascii="Georgia" w:hAnsi="Georgia"/>
        </w:rPr>
        <w:t xml:space="preserve"> three other </w:t>
      </w:r>
      <w:r w:rsidR="00E85D80">
        <w:rPr>
          <w:rFonts w:ascii="Georgia" w:hAnsi="Georgia"/>
        </w:rPr>
        <w:t>related compounds</w:t>
      </w:r>
      <w:r w:rsidR="001706CC">
        <w:rPr>
          <w:rFonts w:ascii="Georgia" w:hAnsi="Georgia"/>
        </w:rPr>
        <w:t xml:space="preserve">: two samples from </w:t>
      </w:r>
      <w:r w:rsidR="001706CC" w:rsidRPr="001706CC">
        <w:rPr>
          <w:rFonts w:ascii="Georgia" w:hAnsi="Georgia"/>
        </w:rPr>
        <w:t>two</w:t>
      </w:r>
      <w:r w:rsidR="001706CC" w:rsidRPr="00F34742">
        <w:rPr>
          <w:rFonts w:ascii="Georgia" w:hAnsi="Georgia"/>
          <w:i/>
          <w:iCs/>
        </w:rPr>
        <w:t xml:space="preserve"> </w:t>
      </w:r>
      <w:proofErr w:type="spellStart"/>
      <w:r w:rsidR="001706CC" w:rsidRPr="00F34742">
        <w:rPr>
          <w:rFonts w:ascii="Georgia" w:hAnsi="Georgia"/>
          <w:i/>
          <w:iCs/>
        </w:rPr>
        <w:t>Liridendron</w:t>
      </w:r>
      <w:proofErr w:type="spellEnd"/>
      <w:r w:rsidR="001706CC" w:rsidRPr="00F34742">
        <w:rPr>
          <w:rFonts w:ascii="Georgia" w:hAnsi="Georgia"/>
          <w:i/>
          <w:iCs/>
        </w:rPr>
        <w:t xml:space="preserve"> chinense </w:t>
      </w:r>
      <w:r w:rsidR="001706CC" w:rsidRPr="001706CC">
        <w:rPr>
          <w:rFonts w:ascii="Georgia" w:hAnsi="Georgia"/>
        </w:rPr>
        <w:t>trees</w:t>
      </w:r>
      <w:r w:rsidR="001706CC">
        <w:rPr>
          <w:rFonts w:ascii="Georgia" w:hAnsi="Georgia"/>
        </w:rPr>
        <w:t xml:space="preserve">, which has a similar genetic composition but </w:t>
      </w:r>
      <w:r w:rsidR="001028A4">
        <w:rPr>
          <w:rFonts w:ascii="Georgia" w:hAnsi="Georgia"/>
        </w:rPr>
        <w:t xml:space="preserve">unlike the </w:t>
      </w:r>
      <w:r w:rsidR="001028A4" w:rsidRPr="00F34742">
        <w:rPr>
          <w:rFonts w:ascii="Georgia" w:hAnsi="Georgia"/>
          <w:i/>
          <w:iCs/>
        </w:rPr>
        <w:t>L. tulipifera</w:t>
      </w:r>
      <w:r w:rsidR="001028A4">
        <w:rPr>
          <w:rFonts w:ascii="Georgia" w:hAnsi="Georgia"/>
        </w:rPr>
        <w:t xml:space="preserve">, </w:t>
      </w:r>
      <w:r w:rsidR="001706CC">
        <w:rPr>
          <w:rFonts w:ascii="Georgia" w:hAnsi="Georgia"/>
        </w:rPr>
        <w:t xml:space="preserve">does not </w:t>
      </w:r>
      <w:r w:rsidR="001028A4">
        <w:rPr>
          <w:rFonts w:ascii="Georgia" w:hAnsi="Georgia"/>
        </w:rPr>
        <w:t>contain laurenobiolide, and a</w:t>
      </w:r>
      <w:r w:rsidR="00E85D80">
        <w:rPr>
          <w:rFonts w:ascii="Georgia" w:hAnsi="Georgia"/>
        </w:rPr>
        <w:t>n extract from a</w:t>
      </w:r>
      <w:r w:rsidR="001028A4">
        <w:rPr>
          <w:rFonts w:ascii="Georgia" w:hAnsi="Georgia"/>
        </w:rPr>
        <w:t xml:space="preserve"> hybrid of the </w:t>
      </w:r>
      <w:r w:rsidR="001028A4" w:rsidRPr="00F34742">
        <w:rPr>
          <w:rFonts w:ascii="Georgia" w:hAnsi="Georgia"/>
          <w:i/>
          <w:iCs/>
        </w:rPr>
        <w:t xml:space="preserve">L. </w:t>
      </w:r>
      <w:r w:rsidR="001028A4" w:rsidRPr="001028A4">
        <w:rPr>
          <w:rFonts w:ascii="Georgia" w:hAnsi="Georgia"/>
          <w:i/>
          <w:iCs/>
        </w:rPr>
        <w:t>tulipifera</w:t>
      </w:r>
      <w:r w:rsidR="001028A4">
        <w:rPr>
          <w:rFonts w:ascii="Georgia" w:hAnsi="Georgia"/>
        </w:rPr>
        <w:t xml:space="preserve"> and the </w:t>
      </w:r>
      <w:r w:rsidR="001028A4" w:rsidRPr="00F34742">
        <w:rPr>
          <w:rFonts w:ascii="Georgia" w:hAnsi="Georgia"/>
          <w:i/>
          <w:iCs/>
        </w:rPr>
        <w:t>L. chinense</w:t>
      </w:r>
      <w:r w:rsidR="001028A4">
        <w:rPr>
          <w:rFonts w:ascii="Georgia" w:hAnsi="Georgia"/>
        </w:rPr>
        <w:t xml:space="preserve">. </w:t>
      </w:r>
    </w:p>
    <w:p w14:paraId="5F43511D" w14:textId="0750817A" w:rsidR="000100A9" w:rsidRPr="00F34742" w:rsidRDefault="007D11B6" w:rsidP="00F34742">
      <w:pPr>
        <w:rPr>
          <w:rFonts w:ascii="Georgia" w:hAnsi="Georgia"/>
        </w:rPr>
      </w:pPr>
      <w:r>
        <w:rPr>
          <w:rFonts w:ascii="Georgia" w:hAnsi="Georgia"/>
        </w:rPr>
        <w:tab/>
      </w:r>
      <w:r w:rsidR="000100A9" w:rsidRPr="00F34742">
        <w:rPr>
          <w:rFonts w:ascii="Georgia" w:hAnsi="Georgia"/>
          <w:i/>
          <w:iCs/>
        </w:rPr>
        <w:t>S. aureus</w:t>
      </w:r>
      <w:r w:rsidR="000100A9" w:rsidRPr="00F34742">
        <w:rPr>
          <w:rFonts w:ascii="Georgia" w:hAnsi="Georgia"/>
        </w:rPr>
        <w:t xml:space="preserve"> </w:t>
      </w:r>
      <w:r w:rsidR="00CE1AB3" w:rsidRPr="00F34742">
        <w:rPr>
          <w:rFonts w:ascii="Georgia" w:hAnsi="Georgia"/>
        </w:rPr>
        <w:t>is a</w:t>
      </w:r>
      <w:r w:rsidR="000F580C" w:rsidRPr="00F34742">
        <w:rPr>
          <w:rFonts w:ascii="Georgia" w:hAnsi="Georgia"/>
        </w:rPr>
        <w:t xml:space="preserve"> spherical shaped,</w:t>
      </w:r>
      <w:r w:rsidR="00CE1AB3" w:rsidRPr="00F34742">
        <w:rPr>
          <w:rFonts w:ascii="Georgia" w:hAnsi="Georgia"/>
        </w:rPr>
        <w:t xml:space="preserve"> </w:t>
      </w:r>
      <w:r w:rsidR="00D03BE3">
        <w:rPr>
          <w:rFonts w:ascii="Georgia" w:hAnsi="Georgia"/>
        </w:rPr>
        <w:t>G</w:t>
      </w:r>
      <w:r w:rsidR="00CE1AB3" w:rsidRPr="00F34742">
        <w:rPr>
          <w:rFonts w:ascii="Georgia" w:hAnsi="Georgia"/>
        </w:rPr>
        <w:t>r</w:t>
      </w:r>
      <w:r w:rsidR="00B60A43" w:rsidRPr="00F34742">
        <w:rPr>
          <w:rFonts w:ascii="Georgia" w:hAnsi="Georgia"/>
        </w:rPr>
        <w:t>am-</w:t>
      </w:r>
      <w:r w:rsidR="006A555C" w:rsidRPr="00F34742">
        <w:rPr>
          <w:rFonts w:ascii="Georgia" w:hAnsi="Georgia"/>
        </w:rPr>
        <w:t>positive bacteri</w:t>
      </w:r>
      <w:r w:rsidR="00CE1AB3" w:rsidRPr="00F34742">
        <w:rPr>
          <w:rFonts w:ascii="Georgia" w:hAnsi="Georgia"/>
        </w:rPr>
        <w:t>um and pathogen</w:t>
      </w:r>
      <w:r w:rsidR="000F580C" w:rsidRPr="00F34742">
        <w:rPr>
          <w:rFonts w:ascii="Georgia" w:hAnsi="Georgia"/>
        </w:rPr>
        <w:t xml:space="preserve"> which typically causes </w:t>
      </w:r>
      <w:r w:rsidR="004636CA" w:rsidRPr="00F34742">
        <w:rPr>
          <w:rFonts w:ascii="Georgia" w:hAnsi="Georgia"/>
        </w:rPr>
        <w:t xml:space="preserve">infections </w:t>
      </w:r>
      <w:r w:rsidR="000F580C" w:rsidRPr="00F34742">
        <w:rPr>
          <w:rFonts w:ascii="Georgia" w:hAnsi="Georgia"/>
        </w:rPr>
        <w:t>that afflict the</w:t>
      </w:r>
      <w:r w:rsidR="004636CA" w:rsidRPr="00F34742">
        <w:rPr>
          <w:rFonts w:ascii="Georgia" w:hAnsi="Georgia"/>
        </w:rPr>
        <w:t xml:space="preserve"> skin</w:t>
      </w:r>
      <w:r w:rsidR="000F580C" w:rsidRPr="00F34742">
        <w:rPr>
          <w:rFonts w:ascii="Georgia" w:hAnsi="Georgia"/>
        </w:rPr>
        <w:t xml:space="preserve">, presenting </w:t>
      </w:r>
      <w:r w:rsidR="00E9605D" w:rsidRPr="00F34742">
        <w:rPr>
          <w:rFonts w:ascii="Georgia" w:hAnsi="Georgia"/>
        </w:rPr>
        <w:t xml:space="preserve">as sores, bumps, redness, among other </w:t>
      </w:r>
      <w:r w:rsidRPr="00F34742">
        <w:rPr>
          <w:rFonts w:ascii="Georgia" w:hAnsi="Georgia"/>
        </w:rPr>
        <w:t>symptoms.</w:t>
      </w:r>
      <w:r w:rsidR="006A555C" w:rsidRPr="00F34742">
        <w:rPr>
          <w:rFonts w:ascii="Georgia" w:hAnsi="Georgia"/>
        </w:rPr>
        <w:t xml:space="preserve"> MRSA is a nosocomial pathogen that commonly afflicts patients and is difficult</w:t>
      </w:r>
      <w:r w:rsidR="004636CA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>to treat.</w:t>
      </w:r>
      <w:r w:rsidRPr="00F34742">
        <w:rPr>
          <w:rFonts w:ascii="Georgia" w:hAnsi="Georgia"/>
        </w:rPr>
        <w:t xml:space="preserve"> </w:t>
      </w:r>
      <w:r w:rsidRPr="00F34742">
        <w:rPr>
          <w:rFonts w:ascii="Georgia" w:hAnsi="Georgia"/>
          <w:i/>
          <w:iCs/>
        </w:rPr>
        <w:t>E. coli</w:t>
      </w:r>
      <w:r w:rsidRPr="00F34742">
        <w:rPr>
          <w:rFonts w:ascii="Georgia" w:hAnsi="Georgia"/>
        </w:rPr>
        <w:t xml:space="preserve"> is a Gram-negative bacterium that typically lives in human intestines but will often cause foodborne illness in humans</w:t>
      </w:r>
      <w:r w:rsidR="00F17616">
        <w:rPr>
          <w:rFonts w:ascii="Georgia" w:hAnsi="Georgia"/>
        </w:rPr>
        <w:t xml:space="preserve">. </w:t>
      </w:r>
      <w:r w:rsidR="000100A9" w:rsidRPr="00F34742">
        <w:rPr>
          <w:rFonts w:ascii="Georgia" w:hAnsi="Georgia"/>
          <w:i/>
          <w:iCs/>
        </w:rPr>
        <w:t>F. tularensis</w:t>
      </w:r>
      <w:r w:rsidR="000100A9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 xml:space="preserve">is a </w:t>
      </w:r>
      <w:r w:rsidR="00B60A43" w:rsidRPr="00F34742">
        <w:rPr>
          <w:rFonts w:ascii="Georgia" w:hAnsi="Georgia"/>
        </w:rPr>
        <w:t>Gram-</w:t>
      </w:r>
      <w:r w:rsidR="006A555C" w:rsidRPr="00F34742">
        <w:rPr>
          <w:rFonts w:ascii="Georgia" w:hAnsi="Georgia"/>
        </w:rPr>
        <w:t xml:space="preserve">negative, highly infectious pathogen that is classified as a potential bioweapon </w:t>
      </w:r>
      <w:r w:rsidR="00F23BF7" w:rsidRPr="00F34742">
        <w:rPr>
          <w:rFonts w:ascii="Georgia" w:hAnsi="Georgia"/>
        </w:rPr>
        <w:t xml:space="preserve">because it </w:t>
      </w:r>
      <w:r w:rsidR="00F17616">
        <w:rPr>
          <w:rFonts w:ascii="Georgia" w:hAnsi="Georgia"/>
        </w:rPr>
        <w:t>has the capability to</w:t>
      </w:r>
      <w:r w:rsidR="00F17616" w:rsidRPr="00F34742">
        <w:rPr>
          <w:rFonts w:ascii="Georgia" w:hAnsi="Georgia"/>
        </w:rPr>
        <w:t xml:space="preserve"> </w:t>
      </w:r>
      <w:r w:rsidR="006A555C" w:rsidRPr="00F34742">
        <w:rPr>
          <w:rFonts w:ascii="Georgia" w:hAnsi="Georgia"/>
        </w:rPr>
        <w:t>cause lethal illness. Depending on the mode of entry, it can have varying presentations</w:t>
      </w:r>
      <w:r w:rsidR="00B96D3F">
        <w:rPr>
          <w:rFonts w:ascii="Georgia" w:hAnsi="Georgia"/>
        </w:rPr>
        <w:t xml:space="preserve"> </w:t>
      </w:r>
      <w:r w:rsidR="00FD0D86" w:rsidRPr="00F34742">
        <w:rPr>
          <w:rFonts w:ascii="Georgia" w:hAnsi="Georgia"/>
        </w:rPr>
        <w:t>but</w:t>
      </w:r>
      <w:r w:rsidR="001B6B0D">
        <w:rPr>
          <w:rFonts w:ascii="Georgia" w:hAnsi="Georgia"/>
        </w:rPr>
        <w:t xml:space="preserve"> typically</w:t>
      </w:r>
      <w:r w:rsidR="00FD0D86" w:rsidRPr="00F34742">
        <w:rPr>
          <w:rFonts w:ascii="Georgia" w:hAnsi="Georgia"/>
        </w:rPr>
        <w:t xml:space="preserve"> </w:t>
      </w:r>
      <w:r w:rsidR="00F17616" w:rsidRPr="00F17616">
        <w:rPr>
          <w:rFonts w:ascii="Georgia" w:hAnsi="Georgia"/>
        </w:rPr>
        <w:t>causes</w:t>
      </w:r>
      <w:r w:rsidR="00FD0D86" w:rsidRPr="00F34742">
        <w:rPr>
          <w:rFonts w:ascii="Georgia" w:hAnsi="Georgia"/>
        </w:rPr>
        <w:t xml:space="preserve"> a flu-like illness</w:t>
      </w:r>
      <w:r w:rsidR="006A555C" w:rsidRPr="00F34742">
        <w:rPr>
          <w:rFonts w:ascii="Georgia" w:hAnsi="Georgia"/>
        </w:rPr>
        <w:t xml:space="preserve">. </w:t>
      </w:r>
      <w:r w:rsidR="001B6B0D">
        <w:rPr>
          <w:rFonts w:ascii="Georgia" w:hAnsi="Georgia"/>
        </w:rPr>
        <w:t xml:space="preserve">In the Ramsey laboratory, we use </w:t>
      </w:r>
      <w:r w:rsidR="001B6B0D" w:rsidRPr="00F34742">
        <w:rPr>
          <w:rFonts w:ascii="Georgia" w:hAnsi="Georgia"/>
          <w:i/>
          <w:iCs/>
        </w:rPr>
        <w:t>F. tularensis</w:t>
      </w:r>
      <w:r w:rsidR="001B6B0D" w:rsidRPr="00F34742">
        <w:rPr>
          <w:rFonts w:ascii="Georgia" w:hAnsi="Georgia"/>
        </w:rPr>
        <w:t xml:space="preserve"> subsp. </w:t>
      </w:r>
      <w:proofErr w:type="spellStart"/>
      <w:r w:rsidR="001B6B0D" w:rsidRPr="00684C31">
        <w:rPr>
          <w:rFonts w:ascii="Georgia" w:hAnsi="Georgia"/>
          <w:i/>
          <w:iCs/>
        </w:rPr>
        <w:t>holartica</w:t>
      </w:r>
      <w:proofErr w:type="spellEnd"/>
      <w:r w:rsidR="001B6B0D" w:rsidRPr="00F34742">
        <w:rPr>
          <w:rFonts w:ascii="Georgia" w:hAnsi="Georgia"/>
        </w:rPr>
        <w:t xml:space="preserve"> </w:t>
      </w:r>
      <w:r w:rsidR="001B6B0D">
        <w:rPr>
          <w:rFonts w:ascii="Georgia" w:hAnsi="Georgia"/>
        </w:rPr>
        <w:t xml:space="preserve">Live Vaccine Strain (LVS), which is closely related to pathogenic strains but is attenuated for virulence in humans. </w:t>
      </w:r>
    </w:p>
    <w:p w14:paraId="088BF4F8" w14:textId="1D254FB6" w:rsidR="00666EB5" w:rsidRDefault="00666EB5">
      <w:pPr>
        <w:rPr>
          <w:rFonts w:ascii="Georgia" w:hAnsi="Georgia"/>
        </w:rPr>
      </w:pPr>
      <w:r w:rsidRPr="000100A9">
        <w:rPr>
          <w:rFonts w:ascii="Georgia" w:hAnsi="Georgia"/>
          <w:b/>
          <w:bCs/>
        </w:rPr>
        <w:t>Hypothesis</w:t>
      </w:r>
      <w:r w:rsidR="00E71B51">
        <w:rPr>
          <w:rFonts w:ascii="Georgia" w:hAnsi="Georgia"/>
          <w:b/>
          <w:bCs/>
        </w:rPr>
        <w:t xml:space="preserve"> – </w:t>
      </w:r>
      <w:r w:rsidR="007D11B6">
        <w:rPr>
          <w:rFonts w:ascii="Georgia" w:hAnsi="Georgia"/>
        </w:rPr>
        <w:t>L</w:t>
      </w:r>
      <w:r w:rsidR="00E71B51">
        <w:rPr>
          <w:rFonts w:ascii="Georgia" w:hAnsi="Georgia"/>
        </w:rPr>
        <w:t xml:space="preserve">aurenobiolide </w:t>
      </w:r>
      <w:r w:rsidR="009D42FD">
        <w:rPr>
          <w:rFonts w:ascii="Georgia" w:hAnsi="Georgia"/>
        </w:rPr>
        <w:t>show</w:t>
      </w:r>
      <w:r w:rsidR="007D11B6">
        <w:rPr>
          <w:rFonts w:ascii="Georgia" w:hAnsi="Georgia"/>
        </w:rPr>
        <w:t>s antimicrobial</w:t>
      </w:r>
      <w:r w:rsidR="009D42FD">
        <w:rPr>
          <w:rFonts w:ascii="Georgia" w:hAnsi="Georgia"/>
        </w:rPr>
        <w:t xml:space="preserve"> activity</w:t>
      </w:r>
      <w:r w:rsidR="00E71B51">
        <w:rPr>
          <w:rFonts w:ascii="Georgia" w:hAnsi="Georgia"/>
        </w:rPr>
        <w:t xml:space="preserve"> on </w:t>
      </w:r>
      <w:r w:rsidR="00132B97" w:rsidRPr="00613704">
        <w:rPr>
          <w:rFonts w:ascii="Georgia" w:hAnsi="Georgia"/>
          <w:i/>
          <w:iCs/>
        </w:rPr>
        <w:t xml:space="preserve">S. aureus </w:t>
      </w:r>
      <w:r w:rsidR="00132B97">
        <w:rPr>
          <w:rFonts w:ascii="Georgia" w:hAnsi="Georgia"/>
        </w:rPr>
        <w:t xml:space="preserve">and potentially </w:t>
      </w:r>
      <w:r w:rsidR="00E71B51">
        <w:rPr>
          <w:rFonts w:ascii="Georgia" w:hAnsi="Georgia"/>
        </w:rPr>
        <w:t>other bacteria</w:t>
      </w:r>
      <w:r w:rsidR="00F17616">
        <w:rPr>
          <w:rFonts w:ascii="Georgia" w:hAnsi="Georgia"/>
        </w:rPr>
        <w:t>l species</w:t>
      </w:r>
      <w:r w:rsidR="009D42FD">
        <w:rPr>
          <w:rFonts w:ascii="Georgia" w:hAnsi="Georgia"/>
        </w:rPr>
        <w:t xml:space="preserve"> </w:t>
      </w:r>
      <w:r w:rsidR="00F17616">
        <w:rPr>
          <w:rFonts w:ascii="Georgia" w:hAnsi="Georgia"/>
        </w:rPr>
        <w:t>and functions by inhibiting an essential cellular process.</w:t>
      </w:r>
      <w:r w:rsidR="007D11B6">
        <w:rPr>
          <w:rFonts w:ascii="Georgia" w:hAnsi="Georgia"/>
        </w:rPr>
        <w:t xml:space="preserve"> </w:t>
      </w:r>
    </w:p>
    <w:p w14:paraId="62079E27" w14:textId="7ECE53D5" w:rsidR="009D42FD" w:rsidRPr="00F34742" w:rsidRDefault="009D42FD">
      <w:pPr>
        <w:rPr>
          <w:rFonts w:ascii="Georgia" w:hAnsi="Georgia"/>
          <w:strike/>
        </w:rPr>
      </w:pPr>
      <w:r>
        <w:rPr>
          <w:rFonts w:ascii="Georgia" w:hAnsi="Georgia"/>
        </w:rPr>
        <w:tab/>
      </w:r>
      <w:r w:rsidR="00A9188F" w:rsidRPr="00F34742">
        <w:rPr>
          <w:rFonts w:ascii="Georgia" w:hAnsi="Georgia"/>
          <w:strike/>
        </w:rPr>
        <w:t xml:space="preserve"> </w:t>
      </w:r>
    </w:p>
    <w:p w14:paraId="3EC1C34E" w14:textId="1B100D6E" w:rsidR="00666EB5" w:rsidRPr="000100A9" w:rsidRDefault="00666EB5">
      <w:pPr>
        <w:rPr>
          <w:rFonts w:ascii="Georgia" w:hAnsi="Georgia"/>
          <w:b/>
          <w:bCs/>
        </w:rPr>
      </w:pPr>
      <w:r w:rsidRPr="000100A9">
        <w:rPr>
          <w:rFonts w:ascii="Georgia" w:hAnsi="Georgia"/>
          <w:b/>
          <w:bCs/>
        </w:rPr>
        <w:t>Aims</w:t>
      </w:r>
    </w:p>
    <w:p w14:paraId="2A51B576" w14:textId="656B6B38" w:rsidR="00474E0F" w:rsidRDefault="00474E0F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Verify</w:t>
      </w:r>
      <w:r w:rsidR="00F17616">
        <w:rPr>
          <w:rFonts w:ascii="Georgia" w:hAnsi="Georgia"/>
        </w:rPr>
        <w:t xml:space="preserve"> antimicrobial</w:t>
      </w:r>
      <w:r>
        <w:rPr>
          <w:rFonts w:ascii="Georgia" w:hAnsi="Georgia"/>
        </w:rPr>
        <w:t xml:space="preserve"> action </w:t>
      </w:r>
      <w:r w:rsidR="00132B97">
        <w:rPr>
          <w:rFonts w:ascii="Georgia" w:hAnsi="Georgia"/>
        </w:rPr>
        <w:t xml:space="preserve">of laurenobiolide </w:t>
      </w:r>
      <w:r>
        <w:rPr>
          <w:rFonts w:ascii="Georgia" w:hAnsi="Georgia"/>
        </w:rPr>
        <w:t xml:space="preserve">on </w:t>
      </w:r>
      <w:r w:rsidRPr="00F34742">
        <w:rPr>
          <w:rFonts w:ascii="Georgia" w:hAnsi="Georgia"/>
          <w:i/>
          <w:iCs/>
        </w:rPr>
        <w:t>S. aureus</w:t>
      </w:r>
      <w:r>
        <w:rPr>
          <w:rFonts w:ascii="Georgia" w:hAnsi="Georgia"/>
        </w:rPr>
        <w:t xml:space="preserve"> </w:t>
      </w:r>
    </w:p>
    <w:p w14:paraId="51DFFE3D" w14:textId="76602714" w:rsidR="00666EB5" w:rsidRPr="005904F9" w:rsidRDefault="00A63DE8" w:rsidP="00666EB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Test the antimicrobial effects of laurenobiolide on </w:t>
      </w:r>
      <w:r w:rsidR="00E11822">
        <w:rPr>
          <w:rFonts w:ascii="Georgia" w:hAnsi="Georgia"/>
        </w:rPr>
        <w:t>other bacteria, including Gram-negative bacteria.</w:t>
      </w:r>
    </w:p>
    <w:p w14:paraId="5C082A29" w14:textId="564BB857" w:rsidR="00C82303" w:rsidRPr="00681C1E" w:rsidRDefault="00681C1E" w:rsidP="00F34742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81C1E">
        <w:rPr>
          <w:rFonts w:ascii="Georgia" w:hAnsi="Georgia"/>
        </w:rPr>
        <w:t xml:space="preserve">Identify specific cellular process inhibited by laurenobiolide </w:t>
      </w:r>
    </w:p>
    <w:p w14:paraId="0A997D58" w14:textId="3D6A404E" w:rsidR="005904F9" w:rsidRPr="005904F9" w:rsidRDefault="005904F9">
      <w:pPr>
        <w:rPr>
          <w:rFonts w:ascii="Georgia" w:hAnsi="Georgia"/>
        </w:rPr>
      </w:pPr>
      <w:r w:rsidRPr="005904F9">
        <w:rPr>
          <w:rFonts w:ascii="Georgia" w:hAnsi="Georgi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75016C" w:rsidRPr="005904F9" w14:paraId="2D3FF5F2" w14:textId="77777777" w:rsidTr="00E5331D">
        <w:tc>
          <w:tcPr>
            <w:tcW w:w="2336" w:type="dxa"/>
            <w:tcBorders>
              <w:bottom w:val="single" w:sz="4" w:space="0" w:color="auto"/>
            </w:tcBorders>
          </w:tcPr>
          <w:p w14:paraId="29C1CB1F" w14:textId="3AB67255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lastRenderedPageBreak/>
              <w:t>Experiment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A9A399C" w14:textId="4F57EF77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Justification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59A0C4E0" w14:textId="4151DA26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Figure/Data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7ADAFDA" w14:textId="0F87F301" w:rsidR="005904F9" w:rsidRPr="005904F9" w:rsidRDefault="005904F9">
            <w:pPr>
              <w:rPr>
                <w:rFonts w:ascii="Georgia" w:hAnsi="Georgia"/>
              </w:rPr>
            </w:pPr>
            <w:r w:rsidRPr="005904F9">
              <w:rPr>
                <w:rFonts w:ascii="Georgia" w:hAnsi="Georgia"/>
              </w:rPr>
              <w:t>Expected Results</w:t>
            </w:r>
          </w:p>
        </w:tc>
      </w:tr>
      <w:tr w:rsidR="00474E0F" w:rsidRPr="005904F9" w14:paraId="46B167CA" w14:textId="77777777" w:rsidTr="00117C6E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14:paraId="482ECE69" w14:textId="1F862BCE" w:rsidR="00474E0F" w:rsidRPr="005904F9" w:rsidRDefault="00474E0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Aim 1: Verify </w:t>
            </w:r>
            <w:r w:rsidR="00F44C3A">
              <w:rPr>
                <w:rFonts w:ascii="Georgia" w:hAnsi="Georgia"/>
              </w:rPr>
              <w:t xml:space="preserve">antimicrobial </w:t>
            </w:r>
            <w:r>
              <w:rPr>
                <w:rFonts w:ascii="Georgia" w:hAnsi="Georgia"/>
              </w:rPr>
              <w:t xml:space="preserve">action </w:t>
            </w:r>
            <w:r w:rsidR="00F44C3A">
              <w:rPr>
                <w:rFonts w:ascii="Georgia" w:hAnsi="Georgia"/>
              </w:rPr>
              <w:t xml:space="preserve">of laurenobiolide </w:t>
            </w:r>
            <w:r>
              <w:rPr>
                <w:rFonts w:ascii="Georgia" w:hAnsi="Georgia"/>
              </w:rPr>
              <w:t xml:space="preserve">on </w:t>
            </w:r>
            <w:r w:rsidRPr="00AC2B2B">
              <w:rPr>
                <w:rFonts w:ascii="Georgia" w:hAnsi="Georgia"/>
                <w:i/>
                <w:iCs/>
              </w:rPr>
              <w:t>S. aureus</w:t>
            </w:r>
          </w:p>
        </w:tc>
      </w:tr>
      <w:tr w:rsidR="0075016C" w:rsidRPr="005904F9" w14:paraId="349287F1" w14:textId="77777777" w:rsidTr="00E5331D">
        <w:tc>
          <w:tcPr>
            <w:tcW w:w="2336" w:type="dxa"/>
            <w:tcBorders>
              <w:bottom w:val="single" w:sz="4" w:space="0" w:color="auto"/>
            </w:tcBorders>
          </w:tcPr>
          <w:p w14:paraId="41818E4D" w14:textId="3A2705BC" w:rsidR="00474E0F" w:rsidRPr="00474E0F" w:rsidRDefault="00F1761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Confirm efficacy of antimicrobial compound on organism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223D00B5" w14:textId="536695DD" w:rsidR="00474E0F" w:rsidRPr="00474E0F" w:rsidRDefault="00F1761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Validating </w:t>
            </w:r>
            <w:r w:rsidR="00D03BE3">
              <w:rPr>
                <w:rFonts w:ascii="Georgia" w:hAnsi="Georgia"/>
                <w:sz w:val="18"/>
                <w:szCs w:val="18"/>
              </w:rPr>
              <w:t>those previous results</w:t>
            </w:r>
            <w:r>
              <w:rPr>
                <w:rFonts w:ascii="Georgia" w:hAnsi="Georgia"/>
                <w:sz w:val="18"/>
                <w:szCs w:val="18"/>
              </w:rPr>
              <w:t xml:space="preserve"> are replicable</w:t>
            </w:r>
            <w:r w:rsidR="00474E0F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789EACD" w14:textId="219023C4" w:rsid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Figure </w:t>
            </w:r>
            <w:r w:rsidR="00F17616">
              <w:rPr>
                <w:rFonts w:ascii="Georgia" w:hAnsi="Georgia"/>
                <w:sz w:val="18"/>
                <w:szCs w:val="18"/>
              </w:rPr>
              <w:t>– Images of disc diffusion assays</w:t>
            </w:r>
          </w:p>
          <w:p w14:paraId="1950E657" w14:textId="31B8DFEF" w:rsidR="00474E0F" w:rsidRPr="00474E0F" w:rsidRDefault="00474E0F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Table </w:t>
            </w:r>
            <w:r w:rsidR="00F17616">
              <w:rPr>
                <w:rFonts w:ascii="Georgia" w:hAnsi="Georgia"/>
                <w:sz w:val="18"/>
                <w:szCs w:val="18"/>
              </w:rPr>
              <w:t>– Reporting measured zones of inhibition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888D64F" w14:textId="1B533605" w:rsidR="00474E0F" w:rsidRPr="00474E0F" w:rsidRDefault="00D03BE3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The compound shows antimicrobial activity on the organism</w:t>
            </w:r>
          </w:p>
        </w:tc>
      </w:tr>
      <w:tr w:rsidR="00A63DE8" w:rsidRPr="005904F9" w14:paraId="44B5E6E8" w14:textId="77777777" w:rsidTr="00A21A2B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426" w14:textId="13466BB3" w:rsidR="00A63DE8" w:rsidRPr="00A63DE8" w:rsidRDefault="00A63DE8">
            <w:pPr>
              <w:rPr>
                <w:rFonts w:ascii="Georgia" w:hAnsi="Georgia"/>
                <w:sz w:val="20"/>
                <w:szCs w:val="20"/>
              </w:rPr>
            </w:pPr>
            <w:r w:rsidRPr="00A63DE8">
              <w:rPr>
                <w:rFonts w:ascii="Georgia" w:hAnsi="Georgia"/>
                <w:sz w:val="20"/>
                <w:szCs w:val="20"/>
              </w:rPr>
              <w:t xml:space="preserve">Aim </w:t>
            </w:r>
            <w:r w:rsidR="00474E0F">
              <w:rPr>
                <w:rFonts w:ascii="Georgia" w:hAnsi="Georgia"/>
                <w:sz w:val="20"/>
                <w:szCs w:val="20"/>
              </w:rPr>
              <w:t>2</w:t>
            </w:r>
            <w:r w:rsidRPr="00A63DE8">
              <w:rPr>
                <w:rFonts w:ascii="Georgia" w:hAnsi="Georgia"/>
                <w:sz w:val="20"/>
                <w:szCs w:val="20"/>
              </w:rPr>
              <w:t>: Test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63DE8">
              <w:rPr>
                <w:rFonts w:ascii="Georgia" w:hAnsi="Georgia"/>
                <w:sz w:val="20"/>
                <w:szCs w:val="20"/>
              </w:rPr>
              <w:t xml:space="preserve">the antimicrobial effects of laurenobiolide on 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other bacteria including </w:t>
            </w:r>
            <w:r w:rsidR="00F44C3A">
              <w:rPr>
                <w:rFonts w:ascii="Georgia" w:hAnsi="Georgia"/>
                <w:sz w:val="20"/>
                <w:szCs w:val="20"/>
              </w:rPr>
              <w:t>G</w:t>
            </w:r>
            <w:r w:rsidR="00D03BE3">
              <w:rPr>
                <w:rFonts w:ascii="Georgia" w:hAnsi="Georgia"/>
                <w:sz w:val="20"/>
                <w:szCs w:val="20"/>
              </w:rPr>
              <w:t xml:space="preserve">ram-negative bacteria </w:t>
            </w:r>
          </w:p>
        </w:tc>
      </w:tr>
      <w:tr w:rsidR="0075016C" w:rsidRPr="005904F9" w14:paraId="5173571A" w14:textId="77777777" w:rsidTr="00E5331D">
        <w:trPr>
          <w:trHeight w:val="422"/>
        </w:trPr>
        <w:tc>
          <w:tcPr>
            <w:tcW w:w="2336" w:type="dxa"/>
            <w:tcBorders>
              <w:top w:val="single" w:sz="4" w:space="0" w:color="auto"/>
            </w:tcBorders>
          </w:tcPr>
          <w:p w14:paraId="11682AED" w14:textId="721257D5" w:rsidR="005904F9" w:rsidRPr="000100A9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Test activity against other species of bacteria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64437500" w14:textId="44C07007" w:rsidR="005904F9" w:rsidRPr="00A63DE8" w:rsidRDefault="00E71B51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Allows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us</w:t>
            </w:r>
            <w:r>
              <w:rPr>
                <w:rFonts w:ascii="Georgia" w:hAnsi="Georgia"/>
                <w:sz w:val="18"/>
                <w:szCs w:val="18"/>
              </w:rPr>
              <w:t xml:space="preserve"> to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see </w:t>
            </w:r>
            <w:r w:rsidR="00FC5155">
              <w:rPr>
                <w:rFonts w:ascii="Georgia" w:hAnsi="Georgia"/>
                <w:sz w:val="18"/>
                <w:szCs w:val="18"/>
              </w:rPr>
              <w:t xml:space="preserve">if there is potential broad spectrum antimicrobial activity </w:t>
            </w:r>
            <w:r w:rsidR="00686CF3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51692167" w14:textId="7BB5CB41" w:rsidR="00FC5155" w:rsidRDefault="00E71B51" w:rsidP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Figure: </w:t>
            </w:r>
            <w:r w:rsidR="00FC5155">
              <w:rPr>
                <w:rFonts w:ascii="Georgia" w:hAnsi="Georgia"/>
                <w:sz w:val="18"/>
                <w:szCs w:val="18"/>
              </w:rPr>
              <w:t>Images of disc diffusion assays</w:t>
            </w:r>
          </w:p>
          <w:p w14:paraId="5B9F4CA5" w14:textId="39690063" w:rsidR="00FC5155" w:rsidRDefault="00FC5155" w:rsidP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 – Reporting measured zones of inhibition</w:t>
            </w:r>
          </w:p>
          <w:p w14:paraId="0AEC75F7" w14:textId="084387AF" w:rsidR="00E71B51" w:rsidRPr="00A63DE8" w:rsidRDefault="00E71B51" w:rsidP="00FC5155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2C764CF6" w14:textId="444F78A6" w:rsidR="005904F9" w:rsidRPr="00A63DE8" w:rsidRDefault="00F44C3A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Either b</w:t>
            </w:r>
            <w:r w:rsidR="0075016C">
              <w:rPr>
                <w:rFonts w:ascii="Georgia" w:hAnsi="Georgia"/>
                <w:sz w:val="18"/>
                <w:szCs w:val="18"/>
              </w:rPr>
              <w:t>road spectrum antimicrobial activity</w:t>
            </w:r>
            <w:r>
              <w:rPr>
                <w:rFonts w:ascii="Georgia" w:hAnsi="Georgia"/>
                <w:sz w:val="18"/>
                <w:szCs w:val="18"/>
              </w:rPr>
              <w:t xml:space="preserve"> or antimicrobial activity restricted to either </w:t>
            </w:r>
            <w:r w:rsidRPr="00AC2B2B">
              <w:rPr>
                <w:rFonts w:ascii="Georgia" w:hAnsi="Georgia"/>
                <w:i/>
                <w:iCs/>
                <w:sz w:val="18"/>
                <w:szCs w:val="18"/>
              </w:rPr>
              <w:t>S. aureus</w:t>
            </w:r>
            <w:r>
              <w:rPr>
                <w:rFonts w:ascii="Georgia" w:hAnsi="Georgia"/>
                <w:sz w:val="18"/>
                <w:szCs w:val="18"/>
              </w:rPr>
              <w:t xml:space="preserve"> or Gram-positive organisms. </w:t>
            </w:r>
          </w:p>
        </w:tc>
      </w:tr>
      <w:tr w:rsidR="0021760C" w:rsidRPr="005904F9" w14:paraId="2E068035" w14:textId="77777777" w:rsidTr="00C3015E">
        <w:tc>
          <w:tcPr>
            <w:tcW w:w="9350" w:type="dxa"/>
            <w:gridSpan w:val="4"/>
          </w:tcPr>
          <w:p w14:paraId="57C14F27" w14:textId="625F48D4" w:rsidR="0021760C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Aim </w:t>
            </w:r>
            <w:r w:rsidR="00474E0F">
              <w:rPr>
                <w:rFonts w:ascii="Georgia" w:hAnsi="Georgia"/>
                <w:sz w:val="18"/>
                <w:szCs w:val="18"/>
              </w:rPr>
              <w:t>3</w:t>
            </w:r>
            <w:r>
              <w:rPr>
                <w:rFonts w:ascii="Georgia" w:hAnsi="Georgia"/>
                <w:sz w:val="18"/>
                <w:szCs w:val="18"/>
              </w:rPr>
              <w:t>:</w:t>
            </w:r>
            <w:r w:rsidR="00681C1E">
              <w:rPr>
                <w:rFonts w:ascii="Georgia" w:hAnsi="Georgia"/>
                <w:sz w:val="18"/>
                <w:szCs w:val="18"/>
              </w:rPr>
              <w:t xml:space="preserve"> </w:t>
            </w:r>
            <w:r w:rsidR="00681C1E" w:rsidRPr="00681C1E">
              <w:rPr>
                <w:rFonts w:ascii="Georgia" w:hAnsi="Georgia"/>
                <w:sz w:val="18"/>
                <w:szCs w:val="18"/>
              </w:rPr>
              <w:t>Identify specific cellular process inhibited by</w:t>
            </w:r>
            <w:r w:rsidR="00681C1E">
              <w:rPr>
                <w:rFonts w:ascii="Georgia" w:hAnsi="Georgia"/>
                <w:sz w:val="18"/>
                <w:szCs w:val="18"/>
              </w:rPr>
              <w:t xml:space="preserve"> laurenobiolide</w:t>
            </w:r>
          </w:p>
        </w:tc>
      </w:tr>
      <w:tr w:rsidR="0075016C" w:rsidRPr="005904F9" w14:paraId="7DD4AEC3" w14:textId="77777777" w:rsidTr="00E5331D">
        <w:tc>
          <w:tcPr>
            <w:tcW w:w="2336" w:type="dxa"/>
          </w:tcPr>
          <w:p w14:paraId="4A714074" w14:textId="7C79E3EC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Isolation of</w:t>
            </w:r>
            <w:r w:rsidR="00FC5155">
              <w:rPr>
                <w:rFonts w:ascii="Georgia" w:hAnsi="Georgia"/>
                <w:sz w:val="18"/>
                <w:szCs w:val="18"/>
              </w:rPr>
              <w:t xml:space="preserve"> laurenobiolide resistant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FC5155">
              <w:rPr>
                <w:rFonts w:ascii="Georgia" w:hAnsi="Georgia"/>
                <w:sz w:val="18"/>
                <w:szCs w:val="18"/>
              </w:rPr>
              <w:t>m</w:t>
            </w:r>
            <w:r>
              <w:rPr>
                <w:rFonts w:ascii="Georgia" w:hAnsi="Georgia"/>
                <w:sz w:val="18"/>
                <w:szCs w:val="18"/>
              </w:rPr>
              <w:t>utants</w:t>
            </w:r>
          </w:p>
        </w:tc>
        <w:tc>
          <w:tcPr>
            <w:tcW w:w="2338" w:type="dxa"/>
          </w:tcPr>
          <w:p w14:paraId="75C27BC0" w14:textId="1219845F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These mutants may allow us to find a gene that could inform us about the mode of action </w:t>
            </w:r>
          </w:p>
        </w:tc>
        <w:tc>
          <w:tcPr>
            <w:tcW w:w="2338" w:type="dxa"/>
          </w:tcPr>
          <w:p w14:paraId="2C8078EF" w14:textId="77777777" w:rsidR="0075016C" w:rsidRDefault="0075016C" w:rsidP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Figure: Images of disc diffusion assays</w:t>
            </w:r>
          </w:p>
          <w:p w14:paraId="57AC2C69" w14:textId="77777777" w:rsidR="0075016C" w:rsidRDefault="0075016C" w:rsidP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Table – Reporting measured zones of inhibition</w:t>
            </w:r>
          </w:p>
          <w:p w14:paraId="41127E3E" w14:textId="7BD853BE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7D81F659" w14:textId="7FFD65A9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Growth of resistant mutants</w:t>
            </w:r>
          </w:p>
        </w:tc>
      </w:tr>
      <w:tr w:rsidR="0075016C" w:rsidRPr="005904F9" w14:paraId="57C592FB" w14:textId="77777777" w:rsidTr="00E5331D">
        <w:tc>
          <w:tcPr>
            <w:tcW w:w="2336" w:type="dxa"/>
          </w:tcPr>
          <w:p w14:paraId="6341678C" w14:textId="1238322A" w:rsidR="005904F9" w:rsidRPr="00A63DE8" w:rsidRDefault="008B0A6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Whole Genome </w:t>
            </w:r>
            <w:r w:rsidR="0021760C">
              <w:rPr>
                <w:rFonts w:ascii="Georgia" w:hAnsi="Georgia"/>
                <w:sz w:val="18"/>
                <w:szCs w:val="18"/>
              </w:rPr>
              <w:t>Sequencing</w:t>
            </w:r>
            <w:r>
              <w:rPr>
                <w:rFonts w:ascii="Georgia" w:hAnsi="Georgia"/>
                <w:sz w:val="18"/>
                <w:szCs w:val="18"/>
              </w:rPr>
              <w:t xml:space="preserve"> (</w:t>
            </w:r>
            <w:r w:rsidR="00CD6658">
              <w:rPr>
                <w:rFonts w:ascii="Georgia" w:hAnsi="Georgia"/>
                <w:sz w:val="18"/>
                <w:szCs w:val="18"/>
              </w:rPr>
              <w:t>I</w:t>
            </w:r>
            <w:r>
              <w:rPr>
                <w:rFonts w:ascii="Georgia" w:hAnsi="Georgia"/>
                <w:sz w:val="18"/>
                <w:szCs w:val="18"/>
              </w:rPr>
              <w:t>llumina)</w:t>
            </w:r>
            <w:r w:rsidR="00CD6658">
              <w:rPr>
                <w:rFonts w:ascii="Georgia" w:hAnsi="Georgia"/>
                <w:sz w:val="18"/>
                <w:szCs w:val="18"/>
              </w:rPr>
              <w:t xml:space="preserve"> of laurenobiolide-resistant mutants</w:t>
            </w:r>
          </w:p>
        </w:tc>
        <w:tc>
          <w:tcPr>
            <w:tcW w:w="2338" w:type="dxa"/>
          </w:tcPr>
          <w:p w14:paraId="5F2E57AD" w14:textId="5F9AFA20" w:rsidR="005904F9" w:rsidRPr="00A63DE8" w:rsidRDefault="0075016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Identifying mutation in gene will identify cellular process that leads to resistance </w:t>
            </w:r>
          </w:p>
        </w:tc>
        <w:tc>
          <w:tcPr>
            <w:tcW w:w="2338" w:type="dxa"/>
          </w:tcPr>
          <w:p w14:paraId="0FE65E51" w14:textId="5DFE6AD6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Table containing information </w:t>
            </w:r>
            <w:r w:rsidR="00A54EB3">
              <w:rPr>
                <w:rFonts w:ascii="Georgia" w:hAnsi="Georgia"/>
                <w:sz w:val="18"/>
                <w:szCs w:val="18"/>
              </w:rPr>
              <w:t>about mutations identified and what cellular processes might be affected</w:t>
            </w:r>
          </w:p>
        </w:tc>
        <w:tc>
          <w:tcPr>
            <w:tcW w:w="2338" w:type="dxa"/>
          </w:tcPr>
          <w:p w14:paraId="13BD146F" w14:textId="461F6652" w:rsidR="005904F9" w:rsidRPr="00A63DE8" w:rsidRDefault="0021760C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Identification of gene mutation is located on </w:t>
            </w:r>
          </w:p>
        </w:tc>
      </w:tr>
      <w:tr w:rsidR="0075016C" w:rsidRPr="005904F9" w14:paraId="163A1B4E" w14:textId="77777777" w:rsidTr="00E5331D">
        <w:tc>
          <w:tcPr>
            <w:tcW w:w="2336" w:type="dxa"/>
          </w:tcPr>
          <w:p w14:paraId="51A48AEA" w14:textId="13901C03" w:rsidR="00FC5155" w:rsidRPr="00A63DE8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Research mutation </w:t>
            </w:r>
          </w:p>
        </w:tc>
        <w:tc>
          <w:tcPr>
            <w:tcW w:w="2338" w:type="dxa"/>
          </w:tcPr>
          <w:p w14:paraId="307203C8" w14:textId="3AC5F220" w:rsidR="005904F9" w:rsidRPr="00A63DE8" w:rsidRDefault="00FC5155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Determine whether cellular processes or </w:t>
            </w:r>
            <w:r w:rsidR="00A54EB3">
              <w:rPr>
                <w:rFonts w:ascii="Georgia" w:hAnsi="Georgia"/>
                <w:sz w:val="18"/>
                <w:szCs w:val="18"/>
              </w:rPr>
              <w:t xml:space="preserve">general </w:t>
            </w:r>
            <w:r>
              <w:rPr>
                <w:rFonts w:ascii="Georgia" w:hAnsi="Georgia"/>
                <w:sz w:val="18"/>
                <w:szCs w:val="18"/>
              </w:rPr>
              <w:t>drug resistance</w:t>
            </w:r>
            <w:r w:rsidR="00A54EB3">
              <w:rPr>
                <w:rFonts w:ascii="Georgia" w:hAnsi="Georgia"/>
                <w:sz w:val="18"/>
                <w:szCs w:val="18"/>
              </w:rPr>
              <w:t xml:space="preserve"> (via changes to cell permeability)</w:t>
            </w:r>
            <w:r>
              <w:rPr>
                <w:rFonts w:ascii="Georgia" w:hAnsi="Georgia"/>
                <w:sz w:val="18"/>
                <w:szCs w:val="18"/>
              </w:rPr>
              <w:t xml:space="preserve"> are impacted</w:t>
            </w:r>
          </w:p>
        </w:tc>
        <w:tc>
          <w:tcPr>
            <w:tcW w:w="2338" w:type="dxa"/>
          </w:tcPr>
          <w:p w14:paraId="2107E228" w14:textId="77777777" w:rsidR="005904F9" w:rsidRPr="00A63DE8" w:rsidRDefault="005904F9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67BCB7C" w14:textId="7456C2BF" w:rsidR="005904F9" w:rsidRPr="00A63DE8" w:rsidRDefault="007376E6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Determining mode of action</w:t>
            </w:r>
          </w:p>
        </w:tc>
      </w:tr>
    </w:tbl>
    <w:p w14:paraId="3031D80A" w14:textId="77777777" w:rsidR="005904F9" w:rsidRPr="005904F9" w:rsidRDefault="005904F9">
      <w:pPr>
        <w:rPr>
          <w:rFonts w:ascii="Georgia" w:hAnsi="Georgia"/>
        </w:rPr>
      </w:pPr>
    </w:p>
    <w:sectPr w:rsidR="005904F9" w:rsidRPr="0059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AB0"/>
    <w:multiLevelType w:val="hybridMultilevel"/>
    <w:tmpl w:val="85409254"/>
    <w:lvl w:ilvl="0" w:tplc="EDD47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0766E4"/>
    <w:multiLevelType w:val="hybridMultilevel"/>
    <w:tmpl w:val="FFF4E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50257"/>
    <w:multiLevelType w:val="hybridMultilevel"/>
    <w:tmpl w:val="FFF4E83A"/>
    <w:lvl w:ilvl="0" w:tplc="DC985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61B4"/>
    <w:multiLevelType w:val="hybridMultilevel"/>
    <w:tmpl w:val="38FC807A"/>
    <w:lvl w:ilvl="0" w:tplc="1DE64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7724344">
    <w:abstractNumId w:val="2"/>
  </w:num>
  <w:num w:numId="2" w16cid:durableId="284044615">
    <w:abstractNumId w:val="1"/>
  </w:num>
  <w:num w:numId="3" w16cid:durableId="923143401">
    <w:abstractNumId w:val="0"/>
  </w:num>
  <w:num w:numId="4" w16cid:durableId="24931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5A"/>
    <w:rsid w:val="000100A9"/>
    <w:rsid w:val="000F580C"/>
    <w:rsid w:val="001028A4"/>
    <w:rsid w:val="001267C1"/>
    <w:rsid w:val="00131811"/>
    <w:rsid w:val="00132B97"/>
    <w:rsid w:val="00135073"/>
    <w:rsid w:val="0015501E"/>
    <w:rsid w:val="001706CC"/>
    <w:rsid w:val="001B4F81"/>
    <w:rsid w:val="001B6B0D"/>
    <w:rsid w:val="00200889"/>
    <w:rsid w:val="00203319"/>
    <w:rsid w:val="0021760C"/>
    <w:rsid w:val="00227445"/>
    <w:rsid w:val="002C5C4D"/>
    <w:rsid w:val="003039C9"/>
    <w:rsid w:val="00345826"/>
    <w:rsid w:val="0040494C"/>
    <w:rsid w:val="004636CA"/>
    <w:rsid w:val="00474E0F"/>
    <w:rsid w:val="004951FF"/>
    <w:rsid w:val="004A63BB"/>
    <w:rsid w:val="00506402"/>
    <w:rsid w:val="00553A3B"/>
    <w:rsid w:val="005904F9"/>
    <w:rsid w:val="005D6522"/>
    <w:rsid w:val="005D7221"/>
    <w:rsid w:val="00666EB5"/>
    <w:rsid w:val="00681C1E"/>
    <w:rsid w:val="00686CF3"/>
    <w:rsid w:val="006A555C"/>
    <w:rsid w:val="006C4933"/>
    <w:rsid w:val="007376E6"/>
    <w:rsid w:val="0075016C"/>
    <w:rsid w:val="007B3619"/>
    <w:rsid w:val="007D11B6"/>
    <w:rsid w:val="0087532D"/>
    <w:rsid w:val="00880348"/>
    <w:rsid w:val="008B0A65"/>
    <w:rsid w:val="008C6D5C"/>
    <w:rsid w:val="009D42FD"/>
    <w:rsid w:val="00A23414"/>
    <w:rsid w:val="00A502B5"/>
    <w:rsid w:val="00A54EB3"/>
    <w:rsid w:val="00A63DE8"/>
    <w:rsid w:val="00A9188F"/>
    <w:rsid w:val="00AA4871"/>
    <w:rsid w:val="00AB45FF"/>
    <w:rsid w:val="00AC2B2B"/>
    <w:rsid w:val="00B60A43"/>
    <w:rsid w:val="00B96D3F"/>
    <w:rsid w:val="00C32BE1"/>
    <w:rsid w:val="00C82303"/>
    <w:rsid w:val="00CB10F1"/>
    <w:rsid w:val="00CD6658"/>
    <w:rsid w:val="00CE1AB3"/>
    <w:rsid w:val="00D03BE3"/>
    <w:rsid w:val="00D050A2"/>
    <w:rsid w:val="00D61DA9"/>
    <w:rsid w:val="00D75409"/>
    <w:rsid w:val="00D7625A"/>
    <w:rsid w:val="00DC4C7E"/>
    <w:rsid w:val="00DD0EAD"/>
    <w:rsid w:val="00E11822"/>
    <w:rsid w:val="00E21530"/>
    <w:rsid w:val="00E5331D"/>
    <w:rsid w:val="00E71B51"/>
    <w:rsid w:val="00E85D80"/>
    <w:rsid w:val="00E9605D"/>
    <w:rsid w:val="00F17616"/>
    <w:rsid w:val="00F23BF7"/>
    <w:rsid w:val="00F26EDA"/>
    <w:rsid w:val="00F34742"/>
    <w:rsid w:val="00F44C3A"/>
    <w:rsid w:val="00F8388B"/>
    <w:rsid w:val="00F84B9E"/>
    <w:rsid w:val="00FA0955"/>
    <w:rsid w:val="00FC5155"/>
    <w:rsid w:val="00F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1AD5"/>
  <w15:chartTrackingRefBased/>
  <w15:docId w15:val="{A1A41786-7D7A-4CD4-94D4-C63AF7E1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B5"/>
    <w:pPr>
      <w:ind w:left="720"/>
      <w:contextualSpacing/>
    </w:pPr>
  </w:style>
  <w:style w:type="table" w:styleId="TableGrid">
    <w:name w:val="Table Grid"/>
    <w:basedOn w:val="TableNormal"/>
    <w:uiPriority w:val="39"/>
    <w:rsid w:val="0059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74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6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E791-ECDC-4A1E-8ECB-DA429253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3</cp:revision>
  <dcterms:created xsi:type="dcterms:W3CDTF">2022-06-30T13:57:00Z</dcterms:created>
  <dcterms:modified xsi:type="dcterms:W3CDTF">2022-06-30T13:59:00Z</dcterms:modified>
</cp:coreProperties>
</file>