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5DAA"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A. Title of the Study</w:t>
      </w:r>
    </w:p>
    <w:p w14:paraId="516C35EC" w14:textId="1C7CFB14" w:rsidR="005A06B8" w:rsidRPr="00CA4911" w:rsidRDefault="005A06B8" w:rsidP="005A06B8">
      <w:pPr>
        <w:spacing w:line="480" w:lineRule="auto"/>
        <w:jc w:val="both"/>
      </w:pPr>
      <w:r w:rsidRPr="005A06B8">
        <w:t>Exploring the molecular mechanisms of bS21</w:t>
      </w:r>
      <w:r w:rsidR="00712283">
        <w:t xml:space="preserve"> function</w:t>
      </w:r>
      <w:r w:rsidRPr="005A06B8">
        <w:t xml:space="preserve"> in bacterial pathogens</w:t>
      </w:r>
    </w:p>
    <w:p w14:paraId="3F5D7F8B"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B. Statement of the Problem</w:t>
      </w:r>
    </w:p>
    <w:p w14:paraId="00F2C50D" w14:textId="0F438EB4" w:rsidR="005A06B8" w:rsidRDefault="005A06B8" w:rsidP="00C55C0F">
      <w:pPr>
        <w:spacing w:line="480" w:lineRule="auto"/>
        <w:ind w:firstLine="720"/>
        <w:jc w:val="both"/>
      </w:pPr>
      <w:r>
        <w:t xml:space="preserve">The purpose of this study is to determine how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the Gram-negative intracellular pathogen </w:t>
      </w:r>
      <w:r w:rsidRPr="00EE6DC6">
        <w:rPr>
          <w:i/>
          <w:iCs/>
        </w:rPr>
        <w:t>F</w:t>
      </w:r>
      <w:r>
        <w:rPr>
          <w:i/>
          <w:iCs/>
        </w:rPr>
        <w:t>. tularensis</w:t>
      </w:r>
      <w:r>
        <w:t>, which encodes three distinct bS21 homologs, one homolog is key for expression of an essential virulence factor, a type six secretion system</w:t>
      </w:r>
      <w:r w:rsidR="00712283">
        <w:t>,</w:t>
      </w:r>
      <w:r>
        <w:t xml:space="preserve"> and intramacrophage survival. In the Gram-positive opportunistic human pathogen </w:t>
      </w:r>
      <w:r w:rsidRPr="00EE6DC6">
        <w:rPr>
          <w:i/>
          <w:iCs/>
        </w:rPr>
        <w:t>S</w:t>
      </w:r>
      <w:r>
        <w:rPr>
          <w:i/>
          <w:iCs/>
        </w:rPr>
        <w:t>. aureus</w:t>
      </w:r>
      <w:r>
        <w:t>, bS21 appears to impact antibiotic resistance. The goal of the proposed work is to establish how these bS21 homologs exert their effects. Specifically, I will determine</w:t>
      </w:r>
      <w:r w:rsidR="006B2AC0">
        <w:t xml:space="preserve"> </w:t>
      </w:r>
      <w:r>
        <w:t xml:space="preserve">whether each homolog translates certain mRNAs preferentially in </w:t>
      </w:r>
      <w:r w:rsidRPr="00BE2485">
        <w:rPr>
          <w:i/>
          <w:iCs/>
        </w:rPr>
        <w:t>F. tularensis</w:t>
      </w:r>
      <w:r>
        <w:rPr>
          <w:i/>
          <w:iCs/>
        </w:rPr>
        <w:t xml:space="preserve"> </w:t>
      </w:r>
      <w:r>
        <w:t xml:space="preserve">using ribosome profiling, and I will ascertain if loss of bS21 </w:t>
      </w:r>
      <w:r w:rsidR="00ED6C5A">
        <w:t xml:space="preserve">in </w:t>
      </w:r>
      <w:r w:rsidR="00ED6C5A" w:rsidRPr="00BE2485">
        <w:rPr>
          <w:i/>
          <w:iCs/>
        </w:rPr>
        <w:t>S. aureus</w:t>
      </w:r>
      <w:r w:rsidR="00ED6C5A">
        <w:rPr>
          <w:i/>
          <w:iCs/>
        </w:rPr>
        <w:t xml:space="preserve"> </w:t>
      </w:r>
      <w:r w:rsidR="00ED6C5A">
        <w:t xml:space="preserve">leads to antibiotic resistance </w:t>
      </w:r>
      <w:r w:rsidR="00F350BD">
        <w:t>due to</w:t>
      </w:r>
      <w:r w:rsidR="00ED6C5A">
        <w:t xml:space="preserve"> effects on </w:t>
      </w:r>
      <w:r w:rsidR="00F350BD">
        <w:t xml:space="preserve">regulation of </w:t>
      </w:r>
      <w:r>
        <w:t>cell wall synthesis.</w:t>
      </w:r>
    </w:p>
    <w:p w14:paraId="7C7E371F"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C. Justification for the Study</w:t>
      </w:r>
    </w:p>
    <w:p w14:paraId="11159155" w14:textId="77777777" w:rsidR="005A06B8" w:rsidRPr="00B924C5" w:rsidRDefault="005A06B8" w:rsidP="005A06B8">
      <w:pPr>
        <w:spacing w:line="480" w:lineRule="auto"/>
        <w:contextualSpacing/>
        <w:jc w:val="both"/>
        <w:rPr>
          <w:u w:val="single"/>
        </w:rPr>
      </w:pPr>
      <w:r>
        <w:rPr>
          <w:u w:val="single"/>
        </w:rPr>
        <w:t xml:space="preserve">Ribosome heterogeneity may contribute to bacterial gene </w:t>
      </w:r>
      <w:proofErr w:type="gramStart"/>
      <w:r>
        <w:rPr>
          <w:u w:val="single"/>
        </w:rPr>
        <w:t>regulation</w:t>
      </w:r>
      <w:proofErr w:type="gramEnd"/>
    </w:p>
    <w:p w14:paraId="03752CA5" w14:textId="1F8461D8" w:rsidR="005A06B8" w:rsidRPr="008A489A" w:rsidRDefault="005A06B8" w:rsidP="005A06B8">
      <w:pPr>
        <w:spacing w:line="480" w:lineRule="auto"/>
        <w:ind w:firstLine="720"/>
        <w:contextualSpacing/>
        <w:jc w:val="both"/>
      </w:pPr>
      <w:r w:rsidRPr="008A489A">
        <w:t>The central dogma of molecular biology dictates that the genetic information is</w:t>
      </w:r>
      <w:r>
        <w:t xml:space="preserve"> </w:t>
      </w:r>
      <w:r w:rsidRPr="008A489A">
        <w:t>stored in DNA, which is transcribed into mRNA, which in turn is translated into protein</w:t>
      </w:r>
      <w:r w:rsidR="00C55C0F">
        <w:t>,</w:t>
      </w:r>
      <w:r w:rsidR="00F350BD">
        <w:t xml:space="preserve"> </w:t>
      </w:r>
      <w:r w:rsidR="00C55C0F">
        <w:t>with</w:t>
      </w:r>
      <w:r w:rsidR="00E64878">
        <w:t xml:space="preserve"> </w:t>
      </w:r>
      <w:r w:rsidR="00C55C0F">
        <w:t>regulation occurring at e</w:t>
      </w:r>
      <w:r w:rsidR="00E64878">
        <w:t>ach</w:t>
      </w:r>
      <w:r w:rsidR="00C55C0F">
        <w:t xml:space="preserve"> step</w:t>
      </w:r>
      <w:r w:rsidRPr="008A489A">
        <w:t xml:space="preserve">. </w:t>
      </w:r>
      <w:r w:rsidR="00C55C0F">
        <w:t>Post-transcriptional r</w:t>
      </w:r>
      <w:r w:rsidRPr="008A489A">
        <w:t xml:space="preserve">egulation </w:t>
      </w:r>
      <w:r>
        <w:t>can be</w:t>
      </w:r>
      <w:r w:rsidRPr="008A489A">
        <w:t xml:space="preserve"> due to the effects of mRNA, sRNAs, RNA binding proteins, and ribosome binding proteins</w:t>
      </w:r>
      <w:r>
        <w:t xml:space="preserve"> </w:t>
      </w:r>
      <w:r>
        <w:fldChar w:fldCharType="begin"/>
      </w:r>
      <w:r>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fldChar w:fldCharType="separate"/>
      </w:r>
      <w:r>
        <w:rPr>
          <w:noProof/>
        </w:rPr>
        <w:t>(Duval et al., 2015)</w:t>
      </w:r>
      <w:r>
        <w:fldChar w:fldCharType="end"/>
      </w:r>
      <w:r w:rsidRPr="008A489A">
        <w:t>. A somewhat understudied aspect of gene regulation is how the composition of the ribosome contributes to gene expression.</w:t>
      </w:r>
      <w:r>
        <w:t xml:space="preserve"> The ribosome is the site of protein synthesis</w:t>
      </w:r>
      <w:r w:rsidR="00ED6C5A">
        <w:t xml:space="preserve"> and is</w:t>
      </w:r>
      <w:r>
        <w:t xml:space="preserve"> composed of three ribosomal RNA (rRNA) molecules and several ribosomal proteins (r-proteins).</w:t>
      </w:r>
      <w:r w:rsidRPr="008A489A">
        <w:t xml:space="preserve"> The </w:t>
      </w:r>
      <w:r>
        <w:t>ribosome</w:t>
      </w:r>
      <w:r w:rsidRPr="008A489A">
        <w:t xml:space="preserve"> is often viewed </w:t>
      </w:r>
      <w:r w:rsidRPr="008A489A">
        <w:lastRenderedPageBreak/>
        <w:t xml:space="preserve">as a </w:t>
      </w:r>
      <w:r>
        <w:t>static</w:t>
      </w:r>
      <w:r w:rsidRPr="008A489A">
        <w:t xml:space="preserve"> entity, however there is evidence that </w:t>
      </w:r>
      <w:r w:rsidR="00ED6C5A">
        <w:t xml:space="preserve">ribosomes with varying compositions </w:t>
      </w:r>
      <w:r w:rsidRPr="008A489A">
        <w:t>can exist in the same cell</w:t>
      </w:r>
      <w:r w:rsidR="00DF54B7">
        <w:t xml:space="preserve"> </w:t>
      </w:r>
      <w:r w:rsidR="00DF54B7">
        <w:fldChar w:fldCharType="begin"/>
      </w:r>
      <w:r w:rsidR="00DF54B7">
        <w:instrText xml:space="preserve"> ADDIN ZOTERO_ITEM CSL_CITATION {"citationID":"50mKI0Ve","properties":{"formattedCitation":"(Byrgazov et al., 2013; Lilleorg et al., 2019; Sauert et al., 2015)","plainCitation":"(Byrgazov et al., 2013; Lilleorg et al., 2019; Sauert et al., 2015)","noteIndex":0},"citationItems":[{"id":1145,"uris":["http://zotero.org/users/9677915/items/DMBB2SIN"],"itemData":{"id":1145,"type":"article-journal","abstract":"</w:instrText>
      </w:r>
      <w:r w:rsidR="00DF54B7">
        <w:rPr>
          <w:rFonts w:ascii="Arial" w:hAnsi="Arial" w:cs="Arial"/>
        </w:rPr>
        <w:instrText>►</w:instrText>
      </w:r>
      <w:r w:rsidR="00DF54B7">
        <w:instrText xml:space="preserve"> Bacterial ribosomes have an intrinsic regulatory capacity. </w:instrText>
      </w:r>
      <w:r w:rsidR="00DF54B7">
        <w:rPr>
          <w:rFonts w:ascii="Arial" w:hAnsi="Arial" w:cs="Arial"/>
        </w:rPr>
        <w:instrText>►</w:instrText>
      </w:r>
      <w:r w:rsidR="00DF54B7">
        <w:instrText xml:space="preserve"> Ribosomes can vary in their protein and/or rRNA complement. </w:instrText>
      </w:r>
      <w:r w:rsidR="00DF54B7">
        <w:rPr>
          <w:rFonts w:ascii="Arial" w:hAnsi="Arial" w:cs="Arial"/>
        </w:rPr>
        <w:instrText>►</w:instrText>
      </w:r>
      <w:r w:rsidR="00DF54B7">
        <w:instrText xml:space="preserve"> Variations in rRNA and r-protein modifications likewise could lead to heterogeneity. </w:instrText>
      </w:r>
      <w:r w:rsidR="00DF54B7">
        <w:rPr>
          <w:rFonts w:ascii="Arial" w:hAnsi="Arial" w:cs="Arial"/>
        </w:rPr>
        <w:instrText>►</w:instrText>
      </w:r>
      <w:r w:rsidR="00DF54B7">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1138,"uris":["http://zotero.org/users/9677915/items/LMRUABLW"],"itemData":{"id":1138,"type":"article-journal","abstract":"Ribosomes consist of many small proteins and few large RNA molecules. Both components are necessary for ribosome functioning during translation. According to widely accepted view, bacterial ribosomes contain always the same complement of ribosomal proteins. Comparative bacterial genomics data indicates that several ribosomal proteins are encoded by multiple paralogous genes suggesting structural heterogeneity of ribosomes. In E. coli, two r-proteins bL31 and bL36 are encoded by two genes: rpmE and ykgM encode bL31 protein paralogs bL31A and bL31B, and rpmJ and ykgO encode bL36 protein paralogs bL36A and bL36B respectively. We have found several similarities and differences between ribosomes of exponential and stationary growth phases by using quantitative mass spectrometry and X-ray crystallography. First, composition of ribosome associating proteins changes profoundly as cells transition from exponential to stationary growth phase. Ribosomal core proteins bL31A and bL36A are replaced by bL31B and bL36B, respectively. Second, our X-ray structure of the 70S ribosome demonstrates that bL31B and bL36B proteins have similar ribosome binding sites to their A counterparts. Third, ribosome subpopulations containing A or B paralogs existed simultaneously demonstrating that E. coli ribosomes are heterogeneous with respect to their paralogous ribosomal protein composition that changes via protein exchange.","container-title":"Biochimie","DOI":"10.1016/j.biochi.2018.10.013","ISSN":"0300-9084","journalAbbreviation":"Biochimie","page":"169-180","source":"ScienceDirect","title":"Bacterial ribosome heterogeneity: Changes in ribosomal protein composition during transition into stationary growth phase","title-short":"Bacterial ribosome heterogeneity","volume":"156","author":[{"family":"Lilleorg","given":"Silva"},{"family":"Reier","given":"Kaspar"},{"family":"Pulk","given":"Arto"},{"family":"Liiv","given":"Aivar"},{"family":"Tammsalu","given":"Triin"},{"family":"Peil","given":"Lauri"},{"family":"Cate","given":"Jamie H. D."},{"family":"Remme","given":"Jaanus"}],"issued":{"date-parts":[["2019",1,1]]}}},{"id":922,"uris":["http://zotero.org/users/9677915/items/HMSRZ5GW"],"itemData":{"id":922,"type":"article-journal","abstract":"In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DF54B7">
        <w:fldChar w:fldCharType="separate"/>
      </w:r>
      <w:r w:rsidR="00DF54B7">
        <w:rPr>
          <w:noProof/>
        </w:rPr>
        <w:t>(Byrgazov et al., 2013; Lilleorg et al., 2019; Sauert et al., 2015)</w:t>
      </w:r>
      <w:r w:rsidR="00DF54B7">
        <w:fldChar w:fldCharType="end"/>
      </w:r>
      <w:r>
        <w:t xml:space="preserve">. This </w:t>
      </w:r>
      <w:r w:rsidR="00ED6C5A">
        <w:t>raises the possibility</w:t>
      </w:r>
      <w:r w:rsidR="00ED6C5A" w:rsidRPr="008A489A">
        <w:t xml:space="preserve"> </w:t>
      </w:r>
      <w:r w:rsidRPr="008A489A">
        <w:t xml:space="preserve">that </w:t>
      </w:r>
      <w:r>
        <w:t xml:space="preserve">not all ribosomes function identically and </w:t>
      </w:r>
      <w:r w:rsidRPr="008A489A">
        <w:t xml:space="preserve">ribosome </w:t>
      </w:r>
      <w:r>
        <w:t xml:space="preserve">composition may play a role </w:t>
      </w:r>
      <w:r w:rsidRPr="008A489A">
        <w:t>in post-transcriptional regulation</w:t>
      </w:r>
      <w:r>
        <w:t xml:space="preserve"> </w:t>
      </w:r>
      <w:r>
        <w:fldChar w:fldCharType="begin"/>
      </w:r>
      <w:r>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Pr>
          <w:rFonts w:ascii="Arial" w:hAnsi="Arial" w:cs="Arial"/>
        </w:rPr>
        <w:instrText>►</w:instrText>
      </w:r>
      <w:r>
        <w:instrText xml:space="preserve"> Bacterial ribosomes have an intrinsic regulatory capacity. </w:instrText>
      </w:r>
      <w:r>
        <w:rPr>
          <w:rFonts w:ascii="Arial" w:hAnsi="Arial" w:cs="Arial"/>
        </w:rPr>
        <w:instrText>►</w:instrText>
      </w:r>
      <w:r>
        <w:instrText xml:space="preserve"> Ribosomes can vary in their protein and/or rRNA complement. </w:instrText>
      </w:r>
      <w:r>
        <w:rPr>
          <w:rFonts w:ascii="Arial" w:hAnsi="Arial" w:cs="Arial"/>
        </w:rPr>
        <w:instrText>►</w:instrText>
      </w:r>
      <w:r>
        <w:instrText xml:space="preserve"> Variations in rRNA and r-protein modifications likewise could lead to heterogeneity. </w:instrText>
      </w:r>
      <w:r>
        <w:rPr>
          <w:rFonts w:ascii="Arial" w:hAnsi="Arial" w:cs="Arial"/>
        </w:rPr>
        <w:instrText>►</w:instrText>
      </w:r>
      <w:r>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(Byrgazov et al., 2013; Sauert et al., 2015)</w:t>
      </w:r>
      <w:r>
        <w:fldChar w:fldCharType="end"/>
      </w:r>
      <w:r>
        <w:t>.</w:t>
      </w:r>
    </w:p>
    <w:p w14:paraId="413E6359" w14:textId="0C3E7FD6" w:rsidR="005A06B8" w:rsidRDefault="005A06B8" w:rsidP="005A06B8">
      <w:pPr>
        <w:spacing w:line="480" w:lineRule="auto"/>
        <w:ind w:firstLine="720"/>
        <w:contextualSpacing/>
        <w:jc w:val="both"/>
      </w:pPr>
      <w:r w:rsidRPr="00892686">
        <w:t>There</w:t>
      </w:r>
      <w:r>
        <w:t xml:space="preserve"> are multiple sources of ribosomal heterogeneity, including </w:t>
      </w:r>
      <w:r w:rsidR="006B2AC0">
        <w:t xml:space="preserve">the </w:t>
      </w:r>
      <w:r>
        <w:t xml:space="preserve">absence of </w:t>
      </w:r>
      <w:r w:rsidR="00F350BD">
        <w:t>one or more</w:t>
      </w:r>
      <w:r w:rsidR="00892686">
        <w:t xml:space="preserve"> r-protein</w:t>
      </w:r>
      <w:r w:rsidR="00F350BD">
        <w:t>s</w:t>
      </w:r>
      <w:r>
        <w:t>, post-transcriptional or post-translational modification of rRNA or r-proteins, and the incorporation of different</w:t>
      </w:r>
      <w:r w:rsidR="006B2AC0">
        <w:t xml:space="preserve"> </w:t>
      </w:r>
      <w:r>
        <w:t xml:space="preserve">homologs of r-proteins </w:t>
      </w:r>
      <w:r>
        <w:fldChar w:fldCharType="begin"/>
      </w:r>
      <w:r>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(Sauert et al., 2015)</w:t>
      </w:r>
      <w:r>
        <w:fldChar w:fldCharType="end"/>
      </w:r>
      <w:r>
        <w:t xml:space="preserve">. </w:t>
      </w:r>
      <w:r w:rsidR="00017910">
        <w:t xml:space="preserve">Several </w:t>
      </w:r>
      <w:r>
        <w:t xml:space="preserve">bacteria, including </w:t>
      </w:r>
      <w:r>
        <w:rPr>
          <w:i/>
          <w:iCs/>
        </w:rPr>
        <w:t>Mycobacterium smegmatis</w:t>
      </w:r>
      <w:r>
        <w:t xml:space="preserve"> and </w:t>
      </w:r>
      <w:r w:rsidRPr="001F3A73">
        <w:rPr>
          <w:i/>
          <w:iCs/>
        </w:rPr>
        <w:t>Bacillus subtilis</w:t>
      </w:r>
      <w:r w:rsidR="00C1437D">
        <w:t xml:space="preserve">, </w:t>
      </w:r>
      <w:r w:rsidR="009777F3">
        <w:t xml:space="preserve">have duplicated genes that </w:t>
      </w:r>
      <w:r w:rsidR="00017910">
        <w:t xml:space="preserve">encode </w:t>
      </w:r>
      <w:r w:rsidR="009777F3">
        <w:t xml:space="preserve">paralogs of </w:t>
      </w:r>
      <w:r>
        <w:t xml:space="preserve">r-proteins that </w:t>
      </w:r>
      <w:r w:rsidR="009777F3">
        <w:t xml:space="preserve">either </w:t>
      </w:r>
      <w:r>
        <w:t>coordinate zinc</w:t>
      </w:r>
      <w:r w:rsidR="009777F3">
        <w:t xml:space="preserve"> or do not</w:t>
      </w:r>
      <w:r w:rsidR="004321E3">
        <w:t xml:space="preserve"> </w:t>
      </w:r>
      <w:r w:rsidR="009777F3">
        <w:t>(</w:t>
      </w:r>
      <w:r w:rsidR="009777F3">
        <w:rPr>
          <w:noProof/>
        </w:rPr>
        <w:t>Dow &amp; Prisic, 2018; Gabriel &amp; Helmann, 2009)</w:t>
      </w:r>
      <w:r>
        <w:t xml:space="preserve">. </w:t>
      </w:r>
      <w:r w:rsidR="009777F3">
        <w:t>When zinc is depleted in the environment, the zinc-independent paralogs</w:t>
      </w:r>
      <w:r w:rsidR="0050046F">
        <w:t xml:space="preserve"> </w:t>
      </w:r>
      <w:r w:rsidR="009777F3">
        <w:t xml:space="preserve">are </w:t>
      </w:r>
      <w:commentRangeStart w:id="0"/>
      <w:r w:rsidR="0050046F">
        <w:t xml:space="preserve">expressed and </w:t>
      </w:r>
      <w:r w:rsidR="009777F3">
        <w:t>incorporated into the ribosome</w:t>
      </w:r>
      <w:r w:rsidR="00DA5ADE">
        <w:t xml:space="preserve"> </w:t>
      </w:r>
      <w:commentRangeEnd w:id="0"/>
      <w:r w:rsidR="0082229D">
        <w:rPr>
          <w:rStyle w:val="CommentReference"/>
        </w:rPr>
        <w:commentReference w:id="0"/>
      </w:r>
      <w:r w:rsidR="00854FA4">
        <w:fldChar w:fldCharType="begin"/>
      </w:r>
      <w:r w:rsidR="00854FA4">
        <w:instrText xml:space="preserve"> ADDIN ZOTERO_ITEM CSL_CITATION {"citationID":"FGdgDyPR","properties":{"formattedCitation":"(Gabriel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854FA4">
        <w:fldChar w:fldCharType="separate"/>
      </w:r>
      <w:r w:rsidR="00854FA4">
        <w:rPr>
          <w:noProof/>
        </w:rPr>
        <w:t>(Gabriel &amp; Helmann, 2009)</w:t>
      </w:r>
      <w:r w:rsidR="00854FA4">
        <w:fldChar w:fldCharType="end"/>
      </w:r>
      <w:r w:rsidR="009777F3">
        <w:t>. A phylogenic analysis reveals man</w:t>
      </w:r>
      <w:r w:rsidR="00B23028">
        <w:t>y</w:t>
      </w:r>
      <w:r w:rsidR="009777F3">
        <w:t xml:space="preserve"> </w:t>
      </w:r>
      <w:r w:rsidR="00B23028">
        <w:t xml:space="preserve">other </w:t>
      </w:r>
      <w:r w:rsidR="009777F3">
        <w:t xml:space="preserve">bacteria </w:t>
      </w:r>
      <w:r w:rsidR="00070812">
        <w:t xml:space="preserve">encode </w:t>
      </w:r>
      <w:r w:rsidR="009777F3">
        <w:t xml:space="preserve">paralogs of r-proteins </w:t>
      </w:r>
      <w:r w:rsidR="00B23028">
        <w:t>that either contain</w:t>
      </w:r>
      <w:r w:rsidR="009777F3">
        <w:t xml:space="preserve"> zinc-binding residues</w:t>
      </w:r>
      <w:r w:rsidR="00B23028">
        <w:t xml:space="preserve"> or do not </w:t>
      </w:r>
      <w:r w:rsidR="00B23028">
        <w:fldChar w:fldCharType="begin"/>
      </w:r>
      <w:r w:rsidR="00B23028">
        <w:instrText xml:space="preserve"> ADDIN ZOTERO_ITEM CSL_CITATION {"citationID":"yHpz9pD8","properties":{"formattedCitation":"(Makarova et al., 2001)","plainCitation":"(Makarova et al., 2001)","noteIndex":0},"citationItems":[{"id":1185,"uris":["http://zotero.org/users/9677915/items/X6QTGB4B"],"itemData":{"id":1185,"type":"article-journal","abstract":"Background\nRibosomal proteins are encoded in all genomes of cellular life forms and are, generally, well conserved during evolution. In prokaryotes, the genes for most ribosomal proteins are clustered in several highly conserved operons, which ensures efficient co-regulation of their expression. Duplications of ribosomal-protein genes are infrequent, and given their coordinated expression and functioning, it is generally assumed that ribosomal-protein genes are unlikely to undergo horizontal transfer. However, with the accumulation of numerous complete genome sequences of prokaryotes, several paralogous pairs of ribosomal protein genes have been identified. Here we analyze all such cases and attempt to reconstruct the evolutionary history of these ribosomal proteins.\n\nResults\nComplete bacterial genomes were searched for duplications of ribosomal proteins. Ribosomal proteins L36, L33, L31, S14 are each duplicated in several bacterial genomes and ribosomal proteins L11, L28, L7/L12, S1, S15, S18 are so far duplicated in only one genome each. Sequence analysis of the four ribosomal proteins, for which paralogs were detected in several genomes, two of the ribosomal proteins duplicated in one genome (L28 and S18), and the ribosomal protein L32 showed that each of them comes in two distinct versions. One form contains a predicted metal-binding Zn-ribbon that consists of four conserved cysteines (in some cases replaced by histidines), whereas, in the second form, these metal-chelating residues are completely or partially replaced. Typically, genomes containing paralogous genes for these ribosomal proteins encode both versions, designated C+ and C-, respectively. Analysis of phylogenetic trees for these seven ribosomal proteins, combined with comparison of genomic contexts for the respective genes, indicates that in most, if not all cases, their evolution involved a duplication of the ancestral C+ form early in bacterial evolution, with subsequent alternative loss of the C+ and C- forms in different lineages. Additionally, evidence was obtained for a role of horizontal gene transfer in the evolution of these ribosomal proteins, with multiple cases of gene displacement 'in situ', that is, without a change of the gene order in the recipient genome.\n\nConclusions\nA more complex picture of evolution of bacterial ribosomal proteins than previously suspected is emerging from these results, with major contributions of lineage-specific gene loss and horizontal gene transfer. The recurrent theme of emergence and disruption of Zn-ribbons in bacterial ribosomal proteins awaits a functional interpretation.","container-title":"Genome Biology","ISSN":"1465-6906","issue":"9","journalAbbreviation":"Genome Biol","note":"PMID: 11574053\nPMCID: PMC56895","page":"research0033.1-research0033.14","source":"PubMed Central","title":"Two C or not two C: recurrent disruption of Zn-ribbons, gene duplication, lineage-specific gene loss, and horizontal gene transfer in evolution of bacterial ribosomal proteins","title-short":"Two C or not two C","volume":"2","author":[{"family":"Makarova","given":"Kira S"},{"family":"Ponomarev","given":"Vladimir A"},{"family":"Koonin","given":"Eugene V"}],"issued":{"date-parts":[["2001"]]}}}],"schema":"https://github.com/citation-style-language/schema/raw/master/csl-citation.json"} </w:instrText>
      </w:r>
      <w:r w:rsidR="00B23028">
        <w:fldChar w:fldCharType="separate"/>
      </w:r>
      <w:r w:rsidR="00B23028">
        <w:rPr>
          <w:noProof/>
        </w:rPr>
        <w:t>(Makarova et al., 2001)</w:t>
      </w:r>
      <w:r w:rsidR="00B23028">
        <w:fldChar w:fldCharType="end"/>
      </w:r>
      <w:r w:rsidR="00B23028">
        <w:t>.</w:t>
      </w:r>
      <w:r w:rsidR="009777F3">
        <w:t xml:space="preserve"> </w:t>
      </w:r>
      <w:r w:rsidR="00854FA4">
        <w:t xml:space="preserve">While </w:t>
      </w:r>
      <w:proofErr w:type="gramStart"/>
      <w:r w:rsidR="00854FA4">
        <w:t xml:space="preserve">it is clear </w:t>
      </w:r>
      <w:r w:rsidR="00070812">
        <w:t>that cells</w:t>
      </w:r>
      <w:proofErr w:type="gramEnd"/>
      <w:r w:rsidR="00070812">
        <w:t xml:space="preserve"> use </w:t>
      </w:r>
      <w:r w:rsidR="005E124A">
        <w:t>non-zinc</w:t>
      </w:r>
      <w:r w:rsidR="00070812">
        <w:t>-binding r-protein paralogs as a way to liberate zinc in response to a change in environment</w:t>
      </w:r>
      <w:r w:rsidR="00854FA4">
        <w:t xml:space="preserve">, </w:t>
      </w:r>
      <w:r w:rsidR="00070812">
        <w:t xml:space="preserve">how </w:t>
      </w:r>
      <w:r>
        <w:t xml:space="preserve">protein synthesis is affected by the </w:t>
      </w:r>
      <w:r w:rsidR="00070812">
        <w:t>incorporation of the alternate r-protein paralogs</w:t>
      </w:r>
      <w:r>
        <w:t xml:space="preserve"> </w:t>
      </w:r>
      <w:r w:rsidR="00070812">
        <w:t>is not well-established</w:t>
      </w:r>
      <w:r w:rsidR="00854FA4">
        <w:t>.</w:t>
      </w:r>
      <w:r w:rsidR="00DA5ADE">
        <w:t xml:space="preserve"> </w:t>
      </w:r>
      <w:r w:rsidR="00070812">
        <w:t>Notably,</w:t>
      </w:r>
      <w:r w:rsidR="00C33633">
        <w:t xml:space="preserve"> </w:t>
      </w:r>
      <w:r w:rsidR="00070812">
        <w:t>a few</w:t>
      </w:r>
      <w:r w:rsidR="00C33633">
        <w:t xml:space="preserve"> studies that suggest that </w:t>
      </w:r>
      <w:r w:rsidR="00070812">
        <w:t>incorporation of these different r-protein paralogs into</w:t>
      </w:r>
      <w:r w:rsidR="00C33633">
        <w:t xml:space="preserve"> ribosomes alter</w:t>
      </w:r>
      <w:r w:rsidR="00070812">
        <w:t>s</w:t>
      </w:r>
      <w:r w:rsidR="00C33633">
        <w:t xml:space="preserve"> translation</w:t>
      </w:r>
      <w:r w:rsidR="00070812">
        <w:t xml:space="preserve"> but the molecular mechanism leading to changes in translation has yet to be defined</w:t>
      </w:r>
      <w:r w:rsidR="00C33633">
        <w:t xml:space="preserve"> </w:t>
      </w:r>
      <w:r w:rsidR="00C33633">
        <w:fldChar w:fldCharType="begin"/>
      </w:r>
      <w:r w:rsidR="00C33633">
        <w:instrText xml:space="preserve"> ADDIN ZOTERO_ITEM CSL_CITATION {"citationID":"BLGVZtZX","properties":{"formattedCitation":"(Chen et al., 2020; Lilleorg et al., 2020)","plainCitation":"(Chen et al., 2020; Lilleorg et al., 2020)","noteIndex":0},"citationItems":[{"id":746,"uris":["http://zotero.org/users/9677915/items/3UBGU46D"],"itemData":{"id":746,"type":"article-journal","abstract":"Alternative ribosome subunit proteins are prevalent in the genomes of diverse bacterial species, but their functional significance is controversial. Attempts to study microbial ribosomal heterogeneity have mostly relied on comparing wild-type strains with mutants in which subunits have been deleted, but this approach does not allow direct comparison of alternate ribosome isoforms isolated from identical cellular contexts. Here, by simultaneously purifying canonical and alternative RpsR ribosomes from Mycobacterium smegmatis, we show that alternative ribosomes have distinct translational features compared with their canonical counterparts. Both alternative and canonical ribosomes actively take part in protein synthesis, although they translate a subset of genes with differential efficiency as measured by ribosome profiling. We also show that alternative ribosomes have a relative defect in initiation complex formation. Furthermore, a strain of M. smegmatis in which the alternative ribosome protein operon is deleted grows poorly in iron-depleted medium, uncovering a role for alternative ribosomes in iron homeostasis. Our work confirms the distinct and nonredundant contribution of alternative bacterial ribosomes for adaptation to hostile environments.","container-title":"Proceedings of the National Academy of Sciences","DOI":"10.1073/pnas.2009607117","issue":"32","note":"publisher: Proceedings of the National Academy of Sciences","page":"19487-19496","source":"pnas.org (Atypon)","title":"Selective translation by alternative bacterial ribosomes","volume":"117","author":[{"family":"Chen","given":"Yu-Xiang"},{"family":"Xu","given":"Zhi-yu"},{"family":"Ge","given":"Xueliang"},{"family":"Hong","given":"Jia-Yao"},{"family":"Sanyal","given":"Suparna"},{"family":"Lu","given":"Zhi John"},{"family":"Javid","given":"Babak"}],"issued":{"date-parts":[["2020",8,11]]}}},{"id":1193,"uris":["http://zotero.org/users/9677915/items/XX8RKQTM"],"itemData":{"id":1193,"type":"article-journal","abstract":"Ribosomes are essential macromolecular complexes conducting protein biosynthesis in all domains of life. Cells can have heterogeneous ribosomes, i.e. ribosomes with various ribosomal RNA and ribosomal protein (r-protein) composition. However, the functional importance of heterogeneous ribosomes has remained elusive. One of the possible sources for ribosome heterogeneity is provided by paralogous r-proteins. In E. coli, ribosomal protein bL31 has two paralogs: bL31A encoded by rpmE and bL31B encoded by ykgM. This study investigates phenotypic effects of these ribosomal protein paralogs using bacterial strains expressing only bL31A or bL31B. We show that bL31A confers higher fitness to E. coli under lower temperatures. In addition, bL31A and bL31B have different effects on translation reading frame maintenance and apparent translation processivity in vivo as demonstrated by dual luciferase assay. In general, this study demonstrates that ribosomal protein paralog composition (bL31A versus bL31B) can affect cell growth and translation outcome.","container-title":"Scientific Reports","DOI":"10.1038/s41598-020-68582-2","ISSN":"2045-2322","issue":"1","journalAbbreviation":"Sci Rep","language":"en","license":"2020 The Author(s)","note":"number: 1\npublisher: Nature Publishing Group","page":"11682","source":"www.nature.com","title":"Phenotypic effects of paralogous ribosomal proteins bL31A and bL31B in E. coli","volume":"10","author":[{"family":"Lilleorg","given":"Silva"},{"family":"Reier","given":"Kaspar"},{"family":"Volõnkin","given":"Pavel"},{"family":"Remme","given":"Jaanus"},{"family":"Liiv","given":"Aivar"}],"issued":{"date-parts":[["2020",7,15]]}}}],"schema":"https://github.com/citation-style-language/schema/raw/master/csl-citation.json"} </w:instrText>
      </w:r>
      <w:r w:rsidR="00C33633">
        <w:fldChar w:fldCharType="separate"/>
      </w:r>
      <w:r w:rsidR="00C33633">
        <w:rPr>
          <w:noProof/>
        </w:rPr>
        <w:t>(Chen et al., 2020; Lilleorg et al., 2020)</w:t>
      </w:r>
      <w:r w:rsidR="00C33633">
        <w:fldChar w:fldCharType="end"/>
      </w:r>
      <w:r>
        <w:t>.</w:t>
      </w:r>
    </w:p>
    <w:p w14:paraId="7D36CFBD" w14:textId="5CCB12D8" w:rsidR="005A06B8" w:rsidRPr="00B924C5" w:rsidRDefault="005A06B8" w:rsidP="005A06B8">
      <w:pPr>
        <w:spacing w:line="480" w:lineRule="auto"/>
        <w:contextualSpacing/>
        <w:jc w:val="both"/>
        <w:rPr>
          <w:u w:val="single"/>
        </w:rPr>
      </w:pPr>
      <w:r>
        <w:rPr>
          <w:u w:val="single"/>
        </w:rPr>
        <w:t>The r</w:t>
      </w:r>
      <w:r w:rsidRPr="00B924C5">
        <w:rPr>
          <w:u w:val="single"/>
        </w:rPr>
        <w:t xml:space="preserve">ole of bS21 in </w:t>
      </w:r>
      <w:r>
        <w:rPr>
          <w:u w:val="single"/>
        </w:rPr>
        <w:t>translation</w:t>
      </w:r>
    </w:p>
    <w:p w14:paraId="3ACC8244" w14:textId="3CD42EC7" w:rsidR="005A06B8" w:rsidRDefault="005A06B8" w:rsidP="005A06B8">
      <w:pPr>
        <w:spacing w:line="480" w:lineRule="auto"/>
        <w:ind w:firstLine="720"/>
        <w:contextualSpacing/>
        <w:jc w:val="both"/>
      </w:pPr>
      <w:r>
        <w:t xml:space="preserve">bS21 is a small 30S subunit ribosomal protein encoded by the gene </w:t>
      </w:r>
      <w:r w:rsidRPr="00204520">
        <w:rPr>
          <w:i/>
          <w:iCs/>
        </w:rPr>
        <w:t>rpsU</w:t>
      </w:r>
      <w:r>
        <w:t xml:space="preserve"> that is involved in translation initiation </w:t>
      </w:r>
      <w:r>
        <w:fldChar w:fldCharType="begin"/>
      </w:r>
      <w:r>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Pr>
          <w:noProof/>
        </w:rPr>
        <w:t>(Van Duin &amp; Wijnands, 1981)</w:t>
      </w:r>
      <w:r>
        <w:fldChar w:fldCharType="end"/>
      </w:r>
      <w:r>
        <w:t xml:space="preserve">. Although </w:t>
      </w:r>
      <w:r w:rsidR="00C67B61">
        <w:t xml:space="preserve">its </w:t>
      </w:r>
      <w:r>
        <w:t xml:space="preserve">precise </w:t>
      </w:r>
      <w:r w:rsidR="00C67B61">
        <w:t xml:space="preserve">function </w:t>
      </w:r>
      <w:r>
        <w:t xml:space="preserve">in translation is unclear, its positioning near the mRNA exit channel suggests that bS21 can interact with the 5’ </w:t>
      </w:r>
      <w:r>
        <w:lastRenderedPageBreak/>
        <w:t xml:space="preserve">UTR of mRNAs and, at least in some </w:t>
      </w:r>
      <w:r w:rsidRPr="00BE22A1">
        <w:rPr>
          <w:i/>
          <w:iCs/>
        </w:rPr>
        <w:t>E. coli</w:t>
      </w:r>
      <w:r>
        <w:t xml:space="preserve"> ribosomes, can contact the anti-Shine-Dalgarno sequence of 16S rRNA </w:t>
      </w:r>
      <w:r w:rsidR="00BE22D9">
        <w:t xml:space="preserve">(Figure 1; </w:t>
      </w:r>
      <w:r>
        <w:fldChar w:fldCharType="begin"/>
      </w:r>
      <w:r>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fldChar w:fldCharType="separate"/>
      </w:r>
      <w:r>
        <w:rPr>
          <w:noProof/>
        </w:rPr>
        <w:t>Berk et al., 2006)</w:t>
      </w:r>
      <w:r>
        <w:fldChar w:fldCharType="end"/>
      </w:r>
      <w:r>
        <w:t xml:space="preserve">. Many species lack bS21, therefore it is not considered essential for function or assembly </w:t>
      </w:r>
      <w:commentRangeStart w:id="1"/>
      <w:commentRangeStart w:id="2"/>
      <w:r>
        <w:fldChar w:fldCharType="begin"/>
      </w:r>
      <w:r w:rsidR="005E124A">
        <w:instrText xml:space="preserve"> ADDIN ZOTERO_ITEM CSL_CITATION {"citationID":"4wCp32hr","properties":{"formattedCitation":"(Yutin et al., 2012)","plainCitation":"(Yutin et al., 2012)","noteIndex":0},"citationItems":[{"id":1179,"uris":["http://zotero.org/users/9677915/items/4D6GVXDC"],"itemData":{"id":1179,"type":"article-journal","container-title":"PLoS ONE","DOI":"10.1371/journal.pone.0036972","ISSN":"1932-6203","issue":"5","journalAbbreviation":"PLoS ONE","language":"en","page":"e36972","source":"DOI.org (Crossref)","title":"Phylogenomics of Prokaryotic Ribosomal Proteins","volume":"7","author":[{"family":"Yutin","given":"Natalya"},{"family":"Puigbò","given":"Pere"},{"family":"Koonin","given":"Eugene V."},{"family":"Wolf","given":"Yuri I."}],"editor":[{"family":"Lespinet","given":"Olivier"}],"issued":{"date-parts":[["2012",5,16]]}}}],"schema":"https://github.com/citation-style-language/schema/raw/master/csl-citation.json"} </w:instrText>
      </w:r>
      <w:r>
        <w:fldChar w:fldCharType="separate"/>
      </w:r>
      <w:r w:rsidR="005E124A">
        <w:rPr>
          <w:noProof/>
        </w:rPr>
        <w:t>(Yutin et al., 2012)</w:t>
      </w:r>
      <w:r>
        <w:fldChar w:fldCharType="end"/>
      </w:r>
      <w:commentRangeEnd w:id="1"/>
      <w:r w:rsidR="00BE22D9">
        <w:rPr>
          <w:rStyle w:val="CommentReference"/>
        </w:rPr>
        <w:commentReference w:id="1"/>
      </w:r>
      <w:commentRangeEnd w:id="2"/>
      <w:r w:rsidR="006C3150">
        <w:rPr>
          <w:rStyle w:val="CommentReference"/>
        </w:rPr>
        <w:commentReference w:id="2"/>
      </w:r>
      <w:r w:rsidR="00017910">
        <w:t>.</w:t>
      </w:r>
      <w:r>
        <w:t xml:space="preserve"> Species that encode bS21 </w:t>
      </w:r>
      <w:r w:rsidR="006C3150">
        <w:t xml:space="preserve">exhibit </w:t>
      </w:r>
      <w:r>
        <w:t>a variety of phenotypes</w:t>
      </w:r>
      <w:r w:rsidR="00017910">
        <w:t xml:space="preserve"> upon loss of the r-protein</w:t>
      </w:r>
      <w:r>
        <w:t xml:space="preserve">. </w:t>
      </w:r>
      <w:r w:rsidRPr="00F47B1A">
        <w:t xml:space="preserve">In </w:t>
      </w:r>
      <w:r>
        <w:rPr>
          <w:i/>
          <w:iCs/>
        </w:rPr>
        <w:t>S. aureus</w:t>
      </w:r>
      <w:r w:rsidRPr="00F47B1A">
        <w:t xml:space="preserve">, </w:t>
      </w:r>
      <w:r>
        <w:t>cells containing mutations in</w:t>
      </w:r>
      <w:r w:rsidRPr="00F47B1A">
        <w:t xml:space="preserve"> bS21 </w:t>
      </w:r>
      <w:r>
        <w:t>have</w:t>
      </w:r>
      <w:r w:rsidRPr="00F47B1A">
        <w:t xml:space="preserve"> altered susceptibility to antibiotics</w:t>
      </w:r>
      <w:r>
        <w:t xml:space="preserve"> </w:t>
      </w:r>
      <w:r>
        <w:fldChar w:fldCharType="begin"/>
      </w:r>
      <w:r>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fldChar w:fldCharType="separate"/>
      </w:r>
      <w:r>
        <w:rPr>
          <w:noProof/>
        </w:rPr>
        <w:t>(Basco et al., 2019; Friedman et al., 2006)</w:t>
      </w:r>
      <w:r>
        <w:fldChar w:fldCharType="end"/>
      </w:r>
      <w:r>
        <w:t xml:space="preserve">. In </w:t>
      </w:r>
      <w:r w:rsidRPr="00241B81">
        <w:rPr>
          <w:i/>
          <w:iCs/>
        </w:rPr>
        <w:t>Bacillus subtilis</w:t>
      </w:r>
      <w:r>
        <w:rPr>
          <w:i/>
          <w:iCs/>
        </w:rPr>
        <w:t>,</w:t>
      </w:r>
      <w:r>
        <w:t xml:space="preserve"> loss of bS21 results in cells with defects in motility and biofilm formation </w:t>
      </w:r>
      <w:r>
        <w:fldChar w:fldCharType="begin"/>
      </w:r>
      <w:r>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fldChar w:fldCharType="separate"/>
      </w:r>
      <w:r>
        <w:rPr>
          <w:noProof/>
        </w:rPr>
        <w:t>(Takada et al., 2014)</w:t>
      </w:r>
      <w:r>
        <w:fldChar w:fldCharType="end"/>
      </w:r>
      <w:r>
        <w:t xml:space="preserve">, while </w:t>
      </w:r>
      <w:r w:rsidRPr="00241B81">
        <w:rPr>
          <w:i/>
          <w:iCs/>
        </w:rPr>
        <w:t>Listeria monocytogenes</w:t>
      </w:r>
      <w:r>
        <w:rPr>
          <w:i/>
          <w:iCs/>
        </w:rPr>
        <w:t xml:space="preserve"> </w:t>
      </w:r>
      <w:r>
        <w:t xml:space="preserve">can withstand increased acid stress when bS21 is mutated </w:t>
      </w:r>
      <w:r>
        <w:fldChar w:fldCharType="begin"/>
      </w:r>
      <w:r>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fldChar w:fldCharType="separate"/>
      </w:r>
      <w:r>
        <w:rPr>
          <w:noProof/>
        </w:rPr>
        <w:t>(Metselaar et al., 2015)</w:t>
      </w:r>
      <w:r>
        <w:fldChar w:fldCharType="end"/>
      </w:r>
      <w:r>
        <w:t xml:space="preserve">. In </w:t>
      </w:r>
      <w:r w:rsidRPr="001E67F4">
        <w:rPr>
          <w:i/>
          <w:iCs/>
        </w:rPr>
        <w:t>Flavobacterium johnsoniae</w:t>
      </w:r>
      <w:r>
        <w:t xml:space="preserve">, ribosomes that lack bS21 increase the initiation of </w:t>
      </w:r>
      <w:r w:rsidRPr="000877B7">
        <w:rPr>
          <w:i/>
          <w:iCs/>
        </w:rPr>
        <w:t>rpsU</w:t>
      </w:r>
      <w:r>
        <w:t xml:space="preserve"> mRNA translation</w:t>
      </w:r>
      <w:r w:rsidR="00523C91">
        <w:t xml:space="preserve">, a result of efficient base-pairing between the </w:t>
      </w:r>
      <w:r w:rsidR="00BE22D9">
        <w:t xml:space="preserve">anti-Shine Dalgarno sequence (ASD) encoded by the </w:t>
      </w:r>
      <w:r w:rsidR="00523C91">
        <w:t>16S rRNA and strong Shine-Dalgarno</w:t>
      </w:r>
      <w:r w:rsidR="00D819D2">
        <w:t xml:space="preserve"> (SD)</w:t>
      </w:r>
      <w:r w:rsidR="00523C91">
        <w:t xml:space="preserve"> sequence</w:t>
      </w:r>
      <w:r w:rsidR="00B27819">
        <w:t xml:space="preserve"> </w:t>
      </w:r>
      <w:r w:rsidR="00BE22D9">
        <w:t xml:space="preserve">present in the </w:t>
      </w:r>
      <w:r w:rsidR="00BE22D9" w:rsidRPr="007F1C59">
        <w:rPr>
          <w:i/>
          <w:iCs/>
        </w:rPr>
        <w:t>rpsU</w:t>
      </w:r>
      <w:r w:rsidR="00BE22D9">
        <w:t xml:space="preserve"> mRNA </w:t>
      </w:r>
      <w:r w:rsidR="00B27819">
        <w:fldChar w:fldCharType="begin"/>
      </w:r>
      <w:r w:rsidR="00B27819">
        <w:instrText xml:space="preserve"> ADDIN ZOTERO_ITEM CSL_CITATION {"citationID":"IV70F43G","properties":{"formattedCitation":"(McNutt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rsidR="00B27819">
        <w:fldChar w:fldCharType="separate"/>
      </w:r>
      <w:r w:rsidR="00B27819">
        <w:rPr>
          <w:noProof/>
        </w:rPr>
        <w:t>(McNutt et al., 2023)</w:t>
      </w:r>
      <w:r w:rsidR="00B27819">
        <w:fldChar w:fldCharType="end"/>
      </w:r>
      <w:r w:rsidR="00D819D2">
        <w:t xml:space="preserve">. This can only occur </w:t>
      </w:r>
      <w:r w:rsidR="00BE22D9">
        <w:t xml:space="preserve">in the absence of </w:t>
      </w:r>
      <w:r w:rsidR="00D819D2">
        <w:t>bS21 because in Bacteroides species</w:t>
      </w:r>
      <w:r w:rsidR="00BE22D9">
        <w:t xml:space="preserve"> like </w:t>
      </w:r>
      <w:r w:rsidR="00BE22D9" w:rsidRPr="001E67F4">
        <w:rPr>
          <w:i/>
          <w:iCs/>
        </w:rPr>
        <w:t>Flavobacterium johnsoniae</w:t>
      </w:r>
      <w:r w:rsidR="00BE22D9">
        <w:t xml:space="preserve">, bS21 homologs have a specific C-terminal sequence that plays a role in sequestering the ASD </w:t>
      </w:r>
      <w:r>
        <w:fldChar w:fldCharType="begin"/>
      </w:r>
      <w:r>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fldChar w:fldCharType="separate"/>
      </w:r>
      <w:r>
        <w:rPr>
          <w:noProof/>
        </w:rPr>
        <w:t>(McNutt et al., 2023)</w:t>
      </w:r>
      <w:r>
        <w:fldChar w:fldCharType="end"/>
      </w:r>
      <w:r w:rsidR="00523C91">
        <w:t xml:space="preserve">. </w:t>
      </w:r>
      <w:r w:rsidR="00D819D2">
        <w:t xml:space="preserve">Since </w:t>
      </w:r>
      <w:r w:rsidR="00BE22D9">
        <w:t xml:space="preserve">bS21 homologs </w:t>
      </w:r>
      <w:r w:rsidR="00AF45B2">
        <w:t xml:space="preserve">encoded by species </w:t>
      </w:r>
      <w:r w:rsidR="00BE22D9">
        <w:t>outside of the Bacteroides phylum (including those in</w:t>
      </w:r>
      <w:r w:rsidR="00D819D2">
        <w:t xml:space="preserve"> </w:t>
      </w:r>
      <w:r w:rsidR="00D819D2" w:rsidRPr="00B46282">
        <w:rPr>
          <w:i/>
          <w:iCs/>
        </w:rPr>
        <w:t xml:space="preserve">F. tularensis </w:t>
      </w:r>
      <w:r w:rsidR="00BE22D9">
        <w:t xml:space="preserve">and </w:t>
      </w:r>
      <w:r w:rsidR="00D819D2" w:rsidRPr="00B46282">
        <w:rPr>
          <w:i/>
          <w:iCs/>
        </w:rPr>
        <w:t>S. aureus</w:t>
      </w:r>
      <w:r w:rsidR="00BE22D9">
        <w:t>) do not have the same C-terminal s</w:t>
      </w:r>
      <w:r w:rsidR="00AF45B2">
        <w:t>equence</w:t>
      </w:r>
      <w:r w:rsidR="00D819D2">
        <w:t xml:space="preserve">, </w:t>
      </w:r>
      <w:r w:rsidR="00B27819">
        <w:t xml:space="preserve">bS21 function </w:t>
      </w:r>
      <w:r w:rsidR="00AF45B2">
        <w:t xml:space="preserve">is not </w:t>
      </w:r>
      <w:r w:rsidR="00B27819">
        <w:t xml:space="preserve">likely </w:t>
      </w:r>
      <w:r w:rsidR="00AF45B2">
        <w:t xml:space="preserve">to </w:t>
      </w:r>
      <w:r w:rsidR="00B27819">
        <w:t>be the same</w:t>
      </w:r>
      <w:r w:rsidR="00D819D2">
        <w:t xml:space="preserve">. </w:t>
      </w:r>
      <w:r>
        <w:t xml:space="preserve">Because </w:t>
      </w:r>
      <w:r w:rsidR="00C67B61">
        <w:t xml:space="preserve">loss or mutation of </w:t>
      </w:r>
      <w:r>
        <w:t xml:space="preserve">bS21 </w:t>
      </w:r>
      <w:r w:rsidR="00C67B61">
        <w:t>leads to</w:t>
      </w:r>
      <w:r>
        <w:t xml:space="preserve"> a variety of </w:t>
      </w:r>
      <w:r w:rsidR="00C67B61">
        <w:t xml:space="preserve">distinct </w:t>
      </w:r>
      <w:r>
        <w:t>phenotypes</w:t>
      </w:r>
      <w:r w:rsidR="00C67B61">
        <w:t xml:space="preserve"> in different organisms</w:t>
      </w:r>
      <w:r>
        <w:t xml:space="preserve">, it </w:t>
      </w:r>
      <w:r w:rsidR="00C67B61">
        <w:t>raises the possibility that</w:t>
      </w:r>
      <w:r>
        <w:t xml:space="preserve"> this protein </w:t>
      </w:r>
      <w:r w:rsidR="00C67B61">
        <w:t>could play</w:t>
      </w:r>
      <w:r>
        <w:t xml:space="preserve"> a regulatory role in translation. </w:t>
      </w:r>
    </w:p>
    <w:p w14:paraId="52AE473D" w14:textId="77777777" w:rsidR="005A06B8" w:rsidRDefault="005A06B8" w:rsidP="005A06B8">
      <w:pPr>
        <w:keepNext/>
        <w:spacing w:line="480" w:lineRule="auto"/>
        <w:contextualSpacing/>
        <w:jc w:val="both"/>
      </w:pPr>
      <w:r>
        <w:rPr>
          <w:noProof/>
        </w:rPr>
        <w:lastRenderedPageBreak/>
        <w:drawing>
          <wp:inline distT="0" distB="0" distL="0" distR="0" wp14:anchorId="00A41D45" wp14:editId="33039DBC">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2EFD584" w14:textId="12FFDC14" w:rsidR="005A06B8" w:rsidRPr="00B46282" w:rsidRDefault="005A06B8" w:rsidP="005A06B8">
      <w:pPr>
        <w:pStyle w:val="Caption"/>
        <w:spacing w:line="480" w:lineRule="auto"/>
        <w:jc w:val="both"/>
        <w:rPr>
          <w:i w:val="0"/>
          <w:iCs w:val="0"/>
          <w:color w:val="000000" w:themeColor="text1"/>
          <w:sz w:val="22"/>
          <w:szCs w:val="22"/>
        </w:rPr>
      </w:pPr>
      <w:r w:rsidRPr="00B46282">
        <w:rPr>
          <w:b/>
          <w:bCs/>
          <w:i w:val="0"/>
          <w:iCs w:val="0"/>
          <w:color w:val="000000" w:themeColor="text1"/>
          <w:sz w:val="22"/>
          <w:szCs w:val="22"/>
        </w:rPr>
        <w:t xml:space="preserve">Figure </w:t>
      </w:r>
      <w:r w:rsidRPr="00B46282">
        <w:rPr>
          <w:b/>
          <w:bCs/>
          <w:i w:val="0"/>
          <w:iCs w:val="0"/>
          <w:color w:val="000000" w:themeColor="text1"/>
          <w:sz w:val="22"/>
          <w:szCs w:val="22"/>
        </w:rPr>
        <w:fldChar w:fldCharType="begin"/>
      </w:r>
      <w:r w:rsidRPr="00B46282">
        <w:rPr>
          <w:b/>
          <w:bCs/>
          <w:i w:val="0"/>
          <w:iCs w:val="0"/>
          <w:color w:val="000000" w:themeColor="text1"/>
          <w:sz w:val="22"/>
          <w:szCs w:val="22"/>
        </w:rPr>
        <w:instrText xml:space="preserve"> SEQ Figure \* ARABIC </w:instrText>
      </w:r>
      <w:r w:rsidRPr="00B46282">
        <w:rPr>
          <w:b/>
          <w:bCs/>
          <w:i w:val="0"/>
          <w:iCs w:val="0"/>
          <w:color w:val="000000" w:themeColor="text1"/>
          <w:sz w:val="22"/>
          <w:szCs w:val="22"/>
        </w:rPr>
        <w:fldChar w:fldCharType="separate"/>
      </w:r>
      <w:r w:rsidRPr="00B46282">
        <w:rPr>
          <w:b/>
          <w:bCs/>
          <w:i w:val="0"/>
          <w:iCs w:val="0"/>
          <w:noProof/>
          <w:color w:val="000000" w:themeColor="text1"/>
          <w:sz w:val="22"/>
          <w:szCs w:val="22"/>
        </w:rPr>
        <w:t>1</w:t>
      </w:r>
      <w:r w:rsidRPr="00B46282">
        <w:rPr>
          <w:b/>
          <w:bCs/>
          <w:i w:val="0"/>
          <w:iCs w:val="0"/>
          <w:noProof/>
          <w:color w:val="000000" w:themeColor="text1"/>
          <w:sz w:val="22"/>
          <w:szCs w:val="22"/>
        </w:rPr>
        <w:fldChar w:fldCharType="end"/>
      </w:r>
      <w:r w:rsidRPr="00B46282">
        <w:rPr>
          <w:b/>
          <w:bCs/>
          <w:i w:val="0"/>
          <w:iCs w:val="0"/>
          <w:noProof/>
          <w:color w:val="000000" w:themeColor="text1"/>
          <w:sz w:val="22"/>
          <w:szCs w:val="22"/>
        </w:rPr>
        <w:t>.</w:t>
      </w:r>
      <w:r w:rsidRPr="00B46282">
        <w:rPr>
          <w:b/>
          <w:bCs/>
          <w:i w:val="0"/>
          <w:iCs w:val="0"/>
          <w:color w:val="000000" w:themeColor="text1"/>
          <w:sz w:val="22"/>
          <w:szCs w:val="22"/>
        </w:rPr>
        <w:t xml:space="preserve"> The location of bS21 in the ribosome. </w:t>
      </w:r>
      <w:r w:rsidRPr="00B46282">
        <w:rPr>
          <w:i w:val="0"/>
          <w:iCs w:val="0"/>
          <w:color w:val="000000" w:themeColor="text1"/>
          <w:sz w:val="22"/>
          <w:szCs w:val="22"/>
        </w:rPr>
        <w:t xml:space="preserve">Left: </w:t>
      </w:r>
      <w:r w:rsidR="00313672" w:rsidRPr="00B46282">
        <w:rPr>
          <w:i w:val="0"/>
          <w:iCs w:val="0"/>
          <w:color w:val="000000" w:themeColor="text1"/>
          <w:sz w:val="22"/>
          <w:szCs w:val="22"/>
        </w:rPr>
        <w:t xml:space="preserve">Structure </w:t>
      </w:r>
      <w:r w:rsidRPr="00B46282">
        <w:rPr>
          <w:i w:val="0"/>
          <w:iCs w:val="0"/>
          <w:color w:val="000000" w:themeColor="text1"/>
          <w:sz w:val="22"/>
          <w:szCs w:val="22"/>
        </w:rPr>
        <w:t xml:space="preserve">of </w:t>
      </w:r>
      <w:r w:rsidR="00313672" w:rsidRPr="00B46282">
        <w:rPr>
          <w:i w:val="0"/>
          <w:iCs w:val="0"/>
          <w:color w:val="000000" w:themeColor="text1"/>
          <w:sz w:val="22"/>
          <w:szCs w:val="22"/>
        </w:rPr>
        <w:t xml:space="preserve">the </w:t>
      </w:r>
      <w:r w:rsidRPr="00B46282">
        <w:rPr>
          <w:i w:val="0"/>
          <w:iCs w:val="0"/>
          <w:color w:val="000000" w:themeColor="text1"/>
          <w:sz w:val="22"/>
          <w:szCs w:val="22"/>
        </w:rPr>
        <w:t xml:space="preserve">30S subunit of </w:t>
      </w:r>
      <w:r w:rsidRPr="00B46282">
        <w:rPr>
          <w:color w:val="000000" w:themeColor="text1"/>
          <w:sz w:val="22"/>
          <w:szCs w:val="22"/>
        </w:rPr>
        <w:t xml:space="preserve">E. coli </w:t>
      </w:r>
      <w:r w:rsidRPr="00B46282">
        <w:rPr>
          <w:i w:val="0"/>
          <w:iCs w:val="0"/>
          <w:color w:val="000000" w:themeColor="text1"/>
          <w:sz w:val="22"/>
          <w:szCs w:val="22"/>
        </w:rPr>
        <w:t>ribosome</w:t>
      </w:r>
      <w:r w:rsidR="00313672" w:rsidRPr="00B46282">
        <w:rPr>
          <w:i w:val="0"/>
          <w:iCs w:val="0"/>
          <w:color w:val="000000" w:themeColor="text1"/>
          <w:sz w:val="22"/>
          <w:szCs w:val="22"/>
        </w:rPr>
        <w:t xml:space="preserve"> as determined by cryo-EM. </w:t>
      </w:r>
      <w:r w:rsidRPr="00B46282">
        <w:rPr>
          <w:i w:val="0"/>
          <w:iCs w:val="0"/>
          <w:color w:val="000000" w:themeColor="text1"/>
          <w:sz w:val="22"/>
          <w:szCs w:val="22"/>
        </w:rPr>
        <w:t xml:space="preserve"> </w:t>
      </w:r>
      <w:proofErr w:type="gramStart"/>
      <w:r w:rsidR="00313672" w:rsidRPr="00B46282">
        <w:rPr>
          <w:i w:val="0"/>
          <w:iCs w:val="0"/>
          <w:color w:val="000000" w:themeColor="text1"/>
          <w:sz w:val="22"/>
          <w:szCs w:val="22"/>
        </w:rPr>
        <w:t>A</w:t>
      </w:r>
      <w:r w:rsidRPr="00B46282">
        <w:rPr>
          <w:i w:val="0"/>
          <w:iCs w:val="0"/>
          <w:color w:val="000000" w:themeColor="text1"/>
          <w:sz w:val="22"/>
          <w:szCs w:val="22"/>
        </w:rPr>
        <w:t>ll</w:t>
      </w:r>
      <w:r w:rsidR="00313672" w:rsidRPr="00B46282">
        <w:rPr>
          <w:i w:val="0"/>
          <w:iCs w:val="0"/>
          <w:color w:val="000000" w:themeColor="text1"/>
          <w:sz w:val="22"/>
          <w:szCs w:val="22"/>
        </w:rPr>
        <w:t xml:space="preserve"> of</w:t>
      </w:r>
      <w:proofErr w:type="gramEnd"/>
      <w:r w:rsidR="00313672" w:rsidRPr="00B46282">
        <w:rPr>
          <w:i w:val="0"/>
          <w:iCs w:val="0"/>
          <w:color w:val="000000" w:themeColor="text1"/>
          <w:sz w:val="22"/>
          <w:szCs w:val="22"/>
        </w:rPr>
        <w:t xml:space="preserve"> the</w:t>
      </w:r>
      <w:r w:rsidRPr="00B46282">
        <w:rPr>
          <w:i w:val="0"/>
          <w:iCs w:val="0"/>
          <w:color w:val="000000" w:themeColor="text1"/>
          <w:sz w:val="22"/>
          <w:szCs w:val="22"/>
        </w:rPr>
        <w:t xml:space="preserve"> rRNA and r-proteins </w:t>
      </w:r>
      <w:r w:rsidR="00313672" w:rsidRPr="00B46282">
        <w:rPr>
          <w:i w:val="0"/>
          <w:iCs w:val="0"/>
          <w:color w:val="000000" w:themeColor="text1"/>
          <w:sz w:val="22"/>
          <w:szCs w:val="22"/>
        </w:rPr>
        <w:t xml:space="preserve">are depicted in </w:t>
      </w:r>
      <w:r w:rsidRPr="00B46282">
        <w:rPr>
          <w:i w:val="0"/>
          <w:iCs w:val="0"/>
          <w:color w:val="000000" w:themeColor="text1"/>
          <w:sz w:val="22"/>
          <w:szCs w:val="22"/>
        </w:rPr>
        <w:t>gray</w:t>
      </w:r>
      <w:r w:rsidR="00313672" w:rsidRPr="00B46282">
        <w:rPr>
          <w:i w:val="0"/>
          <w:iCs w:val="0"/>
          <w:color w:val="000000" w:themeColor="text1"/>
          <w:sz w:val="22"/>
          <w:szCs w:val="22"/>
        </w:rPr>
        <w:t xml:space="preserve"> ribbons,</w:t>
      </w:r>
      <w:r w:rsidRPr="00B46282">
        <w:rPr>
          <w:i w:val="0"/>
          <w:iCs w:val="0"/>
          <w:color w:val="000000" w:themeColor="text1"/>
          <w:sz w:val="22"/>
          <w:szCs w:val="22"/>
        </w:rPr>
        <w:t xml:space="preserve"> except for bS21 in red</w:t>
      </w:r>
      <w:r w:rsidR="00313672" w:rsidRPr="00B46282">
        <w:rPr>
          <w:i w:val="0"/>
          <w:iCs w:val="0"/>
          <w:color w:val="000000" w:themeColor="text1"/>
          <w:sz w:val="22"/>
          <w:szCs w:val="22"/>
        </w:rPr>
        <w:t xml:space="preserve">. The </w:t>
      </w:r>
      <w:r w:rsidRPr="00B46282">
        <w:rPr>
          <w:i w:val="0"/>
          <w:iCs w:val="0"/>
          <w:color w:val="000000" w:themeColor="text1"/>
          <w:sz w:val="22"/>
          <w:szCs w:val="22"/>
        </w:rPr>
        <w:t>mRNA i</w:t>
      </w:r>
      <w:r w:rsidR="00313672" w:rsidRPr="00B46282">
        <w:rPr>
          <w:i w:val="0"/>
          <w:iCs w:val="0"/>
          <w:color w:val="000000" w:themeColor="text1"/>
          <w:sz w:val="22"/>
          <w:szCs w:val="22"/>
        </w:rPr>
        <w:t>s colored</w:t>
      </w:r>
      <w:r w:rsidRPr="00B46282">
        <w:rPr>
          <w:i w:val="0"/>
          <w:iCs w:val="0"/>
          <w:color w:val="000000" w:themeColor="text1"/>
          <w:sz w:val="22"/>
          <w:szCs w:val="22"/>
        </w:rPr>
        <w:t xml:space="preserve"> </w:t>
      </w:r>
      <w:r w:rsidR="00DA5ADE" w:rsidRPr="00B46282">
        <w:rPr>
          <w:i w:val="0"/>
          <w:iCs w:val="0"/>
          <w:color w:val="000000" w:themeColor="text1"/>
          <w:sz w:val="22"/>
          <w:szCs w:val="22"/>
        </w:rPr>
        <w:t>purple,</w:t>
      </w:r>
      <w:r w:rsidRPr="00B46282">
        <w:rPr>
          <w:i w:val="0"/>
          <w:iCs w:val="0"/>
          <w:color w:val="000000" w:themeColor="text1"/>
          <w:sz w:val="22"/>
          <w:szCs w:val="22"/>
        </w:rPr>
        <w:t xml:space="preserve"> </w:t>
      </w:r>
      <w:r w:rsidR="00313672" w:rsidRPr="00B46282">
        <w:rPr>
          <w:i w:val="0"/>
          <w:iCs w:val="0"/>
          <w:color w:val="000000" w:themeColor="text1"/>
          <w:sz w:val="22"/>
          <w:szCs w:val="22"/>
        </w:rPr>
        <w:t xml:space="preserve">and the </w:t>
      </w:r>
      <w:r w:rsidRPr="00B46282">
        <w:rPr>
          <w:i w:val="0"/>
          <w:iCs w:val="0"/>
          <w:color w:val="000000" w:themeColor="text1"/>
          <w:sz w:val="22"/>
          <w:szCs w:val="22"/>
        </w:rPr>
        <w:t xml:space="preserve">tRNA </w:t>
      </w:r>
      <w:r w:rsidR="00313672" w:rsidRPr="00B46282">
        <w:rPr>
          <w:i w:val="0"/>
          <w:iCs w:val="0"/>
          <w:color w:val="000000" w:themeColor="text1"/>
          <w:sz w:val="22"/>
          <w:szCs w:val="22"/>
        </w:rPr>
        <w:t xml:space="preserve">anti-codon stem loop is </w:t>
      </w:r>
      <w:r w:rsidRPr="00B46282">
        <w:rPr>
          <w:i w:val="0"/>
          <w:iCs w:val="0"/>
          <w:color w:val="000000" w:themeColor="text1"/>
          <w:sz w:val="22"/>
          <w:szCs w:val="22"/>
        </w:rPr>
        <w:t xml:space="preserve">in yellow </w:t>
      </w:r>
      <w:r w:rsidR="00313672" w:rsidRPr="00B46282">
        <w:rPr>
          <w:i w:val="0"/>
          <w:iCs w:val="0"/>
          <w:color w:val="000000" w:themeColor="text1"/>
          <w:sz w:val="22"/>
          <w:szCs w:val="22"/>
        </w:rPr>
        <w:t xml:space="preserve">in </w:t>
      </w:r>
      <w:r w:rsidRPr="00B46282">
        <w:rPr>
          <w:i w:val="0"/>
          <w:iCs w:val="0"/>
          <w:color w:val="000000" w:themeColor="text1"/>
          <w:sz w:val="22"/>
          <w:szCs w:val="22"/>
        </w:rPr>
        <w:t>the P-site. Right: close-up of bS21</w:t>
      </w:r>
      <w:r w:rsidR="00313672" w:rsidRPr="00B46282">
        <w:rPr>
          <w:i w:val="0"/>
          <w:iCs w:val="0"/>
          <w:color w:val="000000" w:themeColor="text1"/>
          <w:sz w:val="22"/>
          <w:szCs w:val="22"/>
        </w:rPr>
        <w:t>,</w:t>
      </w:r>
      <w:r w:rsidRPr="00B46282">
        <w:rPr>
          <w:i w:val="0"/>
          <w:iCs w:val="0"/>
          <w:color w:val="000000" w:themeColor="text1"/>
          <w:sz w:val="22"/>
          <w:szCs w:val="22"/>
        </w:rPr>
        <w:t xml:space="preserve"> </w:t>
      </w:r>
      <w:r w:rsidR="001D4BF0" w:rsidRPr="00B46282">
        <w:rPr>
          <w:i w:val="0"/>
          <w:iCs w:val="0"/>
          <w:color w:val="000000" w:themeColor="text1"/>
          <w:sz w:val="22"/>
          <w:szCs w:val="22"/>
        </w:rPr>
        <w:t>highlighting</w:t>
      </w:r>
      <w:r w:rsidRPr="00B46282">
        <w:rPr>
          <w:i w:val="0"/>
          <w:iCs w:val="0"/>
          <w:color w:val="000000" w:themeColor="text1"/>
          <w:sz w:val="22"/>
          <w:szCs w:val="22"/>
        </w:rPr>
        <w:t xml:space="preserve"> its proximity to the mRNA exit channel. PDB entry 45V0</w:t>
      </w:r>
      <w:r w:rsidR="001D4BF0" w:rsidRPr="00B46282">
        <w:rPr>
          <w:i w:val="0"/>
          <w:iCs w:val="0"/>
          <w:color w:val="000000" w:themeColor="text1"/>
          <w:sz w:val="22"/>
          <w:szCs w:val="22"/>
        </w:rPr>
        <w:t>.</w:t>
      </w:r>
    </w:p>
    <w:p w14:paraId="45DEE113" w14:textId="77777777" w:rsidR="005A06B8" w:rsidRDefault="005A06B8" w:rsidP="005A06B8">
      <w:pPr>
        <w:spacing w:line="480" w:lineRule="auto"/>
        <w:ind w:firstLine="720"/>
        <w:contextualSpacing/>
        <w:jc w:val="both"/>
      </w:pPr>
    </w:p>
    <w:p w14:paraId="126D719F" w14:textId="34A36920" w:rsidR="005A06B8" w:rsidRDefault="001D4BF0" w:rsidP="005A06B8">
      <w:pPr>
        <w:spacing w:line="480" w:lineRule="auto"/>
        <w:ind w:firstLine="720"/>
        <w:contextualSpacing/>
        <w:jc w:val="both"/>
      </w:pPr>
      <w:r>
        <w:t xml:space="preserve">Given that </w:t>
      </w:r>
      <w:r w:rsidR="005A06B8">
        <w:t xml:space="preserve">bS21 </w:t>
      </w:r>
      <w:r>
        <w:t xml:space="preserve">has </w:t>
      </w:r>
      <w:r w:rsidR="005A06B8">
        <w:t xml:space="preserve">a limited role in translation but </w:t>
      </w:r>
      <w:r>
        <w:t>may</w:t>
      </w:r>
      <w:r w:rsidR="005A06B8">
        <w:t xml:space="preserve"> function as a regulator of translation initiation, it is an ideal r-protein to use when studying how ribosome composition </w:t>
      </w:r>
      <w:r>
        <w:t xml:space="preserve">impacts </w:t>
      </w:r>
      <w:r w:rsidR="005A06B8">
        <w:t>ribosome function</w:t>
      </w:r>
      <w:r w:rsidR="00412F9B">
        <w:t xml:space="preserve">. </w:t>
      </w:r>
      <w:r w:rsidR="005A06B8">
        <w:t>In my proposed dissertation work, I will investigate how ribosome heterogeneity influences translation in the following aims:</w:t>
      </w:r>
    </w:p>
    <w:p w14:paraId="0BAC9178" w14:textId="6DFB540F" w:rsidR="005A06B8" w:rsidRDefault="005A06B8" w:rsidP="005A06B8">
      <w:pPr>
        <w:spacing w:line="480" w:lineRule="auto"/>
        <w:contextualSpacing/>
        <w:jc w:val="both"/>
      </w:pPr>
      <w:r w:rsidRPr="00C55C0F">
        <w:rPr>
          <w:b/>
          <w:bCs/>
        </w:rPr>
        <w:t>Specific Aim 1.</w:t>
      </w:r>
      <w:r>
        <w:t xml:space="preserve"> </w:t>
      </w:r>
      <w:r w:rsidR="00AF45B2">
        <w:t>Determine how</w:t>
      </w:r>
      <w:r w:rsidR="00961A32">
        <w:t xml:space="preserve"> </w:t>
      </w:r>
      <w:r>
        <w:t xml:space="preserve">incorporation of specific </w:t>
      </w:r>
      <w:r w:rsidR="00961A32" w:rsidRPr="007F1C59">
        <w:rPr>
          <w:i/>
          <w:iCs/>
        </w:rPr>
        <w:t>F. tularensis</w:t>
      </w:r>
      <w:r w:rsidR="00961A32">
        <w:t xml:space="preserve"> </w:t>
      </w:r>
      <w:r>
        <w:t xml:space="preserve">bS21 homologs into the ribosome </w:t>
      </w:r>
      <w:r w:rsidR="00AF45B2">
        <w:t xml:space="preserve">influences translation initiation on </w:t>
      </w:r>
      <w:r>
        <w:t>transcripts</w:t>
      </w:r>
      <w:r w:rsidR="00AF45B2">
        <w:t xml:space="preserve">, </w:t>
      </w:r>
      <w:r w:rsidR="00DA5ADE">
        <w:t>genome wide</w:t>
      </w:r>
      <w:r w:rsidR="00AF45B2">
        <w:t>.</w:t>
      </w:r>
    </w:p>
    <w:p w14:paraId="76555E9D" w14:textId="4213CCE0" w:rsidR="005A06B8" w:rsidRPr="007F50D6" w:rsidRDefault="005A06B8" w:rsidP="005A06B8">
      <w:pPr>
        <w:spacing w:line="480" w:lineRule="auto"/>
        <w:contextualSpacing/>
        <w:jc w:val="both"/>
        <w:rPr>
          <w:b/>
          <w:bCs/>
        </w:rPr>
      </w:pPr>
      <w:r w:rsidRPr="00C55C0F">
        <w:rPr>
          <w:b/>
          <w:bCs/>
        </w:rPr>
        <w:t>Specific Aim 2.</w:t>
      </w:r>
      <w:r>
        <w:t xml:space="preserve"> </w:t>
      </w:r>
      <w:r w:rsidR="00AF45B2">
        <w:t xml:space="preserve">Investigate why </w:t>
      </w:r>
      <w:r>
        <w:t xml:space="preserve">the loss of bS21 in </w:t>
      </w:r>
      <w:r w:rsidRPr="007F50D6">
        <w:rPr>
          <w:i/>
          <w:iCs/>
        </w:rPr>
        <w:t>S. aureus</w:t>
      </w:r>
      <w:r>
        <w:t xml:space="preserve"> lead</w:t>
      </w:r>
      <w:r w:rsidR="00AF45B2">
        <w:t>s</w:t>
      </w:r>
      <w:r>
        <w:t xml:space="preserve"> to </w:t>
      </w:r>
      <w:r w:rsidR="00AF45B2">
        <w:t>resistance to cell wall-targeting antibiotics.</w:t>
      </w:r>
    </w:p>
    <w:p w14:paraId="441BABD0" w14:textId="77777777" w:rsidR="005A06B8" w:rsidRDefault="005A06B8" w:rsidP="005A06B8">
      <w:pPr>
        <w:spacing w:line="480" w:lineRule="auto"/>
        <w:contextualSpacing/>
        <w:jc w:val="both"/>
      </w:pPr>
    </w:p>
    <w:p w14:paraId="749B3149" w14:textId="77777777" w:rsidR="005A06B8" w:rsidRPr="00BE22A1" w:rsidRDefault="005A06B8" w:rsidP="005A06B8">
      <w:pPr>
        <w:spacing w:line="480" w:lineRule="auto"/>
        <w:contextualSpacing/>
        <w:jc w:val="both"/>
        <w:rPr>
          <w:u w:val="single"/>
        </w:rPr>
      </w:pPr>
      <w:r w:rsidRPr="00BE22A1">
        <w:rPr>
          <w:u w:val="single"/>
        </w:rPr>
        <w:t xml:space="preserve">The role of distinct bS21 homologs in </w:t>
      </w:r>
      <w:r w:rsidRPr="00BE22A1">
        <w:rPr>
          <w:i/>
          <w:iCs/>
          <w:u w:val="single"/>
        </w:rPr>
        <w:t>F. tularensis</w:t>
      </w:r>
    </w:p>
    <w:p w14:paraId="5979E4DC" w14:textId="0DD18E43" w:rsidR="00DD21CE" w:rsidRDefault="005A06B8" w:rsidP="00C55C0F">
      <w:pPr>
        <w:spacing w:line="480" w:lineRule="auto"/>
        <w:ind w:firstLine="720"/>
        <w:contextualSpacing/>
        <w:jc w:val="both"/>
      </w:pPr>
      <w:r w:rsidRPr="0045354E">
        <w:rPr>
          <w:i/>
          <w:iCs/>
        </w:rPr>
        <w:lastRenderedPageBreak/>
        <w:t>Francisella tularensis</w:t>
      </w:r>
      <w:r>
        <w:t xml:space="preserve"> is a facultative intracellular pathogen that causes the disease tularemia. As it can be aerosolized, has a low infectious dose (as few as 10 cells), and a high mortality rate (up to 60% if left untreated), </w:t>
      </w:r>
      <w:r w:rsidRPr="00BE22A1">
        <w:rPr>
          <w:i/>
          <w:iCs/>
        </w:rPr>
        <w:t>F. tularensis</w:t>
      </w:r>
      <w:r>
        <w:t xml:space="preserve"> is considered a potential bioweapon </w:t>
      </w:r>
      <w:r>
        <w:fldChar w:fldCharType="begin"/>
      </w:r>
      <w:r>
        <w:instrText xml:space="preserve"> ADDIN ZOTERO_ITEM CSL_CITATION {"citationID":"RQZ1PsL3","properties":{"formattedCitation":"(Celli &amp; Zahrt, 2013)","plainCitation":"(Celli &amp; Zahrt, 2013)","noteIndex":0},"citationItems":[{"id":825,"uris":["http://zotero.org/users/9677915/items/96ZSXUU5"],"itemData":{"id":825,"type":"article-journal","abstract":"Francisella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 The bacterium Francisella tularensis causes a potentially life-threatening illness. It can be transmitted to humans by multiple routes, and its ability to proliferate within host cells is essential for virulence.","container-title":"Cold Spring Harbor Perspectives in Medicine","DOI":"10.1101/cshperspect.a010314","ISSN":"2157-1422","issue":"4","journalAbbreviation":"Cold Spring Harb Perspect Med","note":"PMID: 23545572\nPMCID: PMC3683997","page":"a010314","source":"PubMed Central","title":"Mechanisms of Francisella tularensis Intracellular Pathogenesis","volume":"3","author":[{"family":"Celli","given":"Jean"},{"family":"Zahrt","given":"Thomas C."}],"issued":{"date-parts":[["2013",4]]}}}],"schema":"https://github.com/citation-style-language/schema/raw/master/csl-citation.json"} </w:instrText>
      </w:r>
      <w:r>
        <w:fldChar w:fldCharType="separate"/>
      </w:r>
      <w:r>
        <w:rPr>
          <w:noProof/>
        </w:rPr>
        <w:t>(Celli &amp; Zahrt, 2013)</w:t>
      </w:r>
      <w:r>
        <w:fldChar w:fldCharType="end"/>
      </w:r>
      <w:r>
        <w:t xml:space="preserve">. It encodes three distinct homologs of bS21 </w:t>
      </w:r>
      <w:r>
        <w:fldChar w:fldCharType="begin"/>
      </w:r>
      <w:r>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As one of</w:t>
      </w:r>
      <w:r w:rsidR="00412F9B">
        <w:t xml:space="preserve"> the</w:t>
      </w:r>
      <w:r>
        <w:t xml:space="preserve"> last proteins to be incorporated into the ribosome </w:t>
      </w:r>
      <w:r>
        <w:fldChar w:fldCharType="begin"/>
      </w:r>
      <w:r>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fldChar w:fldCharType="separate"/>
      </w:r>
      <w:r>
        <w:rPr>
          <w:noProof/>
        </w:rPr>
        <w:t>(Mizushima &amp; Nomura, 1970)</w:t>
      </w:r>
      <w:r>
        <w:fldChar w:fldCharType="end"/>
      </w:r>
      <w:r>
        <w:t xml:space="preserve">, bS21 is loosely associated and as such, there is the potential that different homologs of the protein can be swapped out </w:t>
      </w:r>
      <w:r>
        <w:fldChar w:fldCharType="begin"/>
      </w:r>
      <w:r w:rsidR="00017910">
        <w:instrText xml:space="preserve"> ADDIN ZOTERO_ITEM CSL_CITATION {"citationID":"gLAQ4aeg","properties":{"formattedCitation":"(Robertson et al., n.d., n.d.)","plainCitation":"(Robertson et al., n.d.,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fldChar w:fldCharType="separate"/>
      </w:r>
      <w:r w:rsidR="00017910">
        <w:rPr>
          <w:noProof/>
        </w:rPr>
        <w:t>(Robertson et al., 1977)</w:t>
      </w:r>
      <w:r>
        <w:fldChar w:fldCharType="end"/>
      </w:r>
      <w:r>
        <w:t xml:space="preserve">. Wild-type cells of </w:t>
      </w:r>
      <w:r w:rsidRPr="00CA306D">
        <w:rPr>
          <w:i/>
          <w:iCs/>
        </w:rPr>
        <w:t>F. tularensis</w:t>
      </w:r>
      <w:r>
        <w:t xml:space="preserve"> can incorporate all three homologs of bS21 into the ribosomes </w:t>
      </w:r>
      <w:r>
        <w:fldChar w:fldCharType="begin"/>
      </w:r>
      <w:r>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w:t>
      </w:r>
      <w:r w:rsidRPr="00BE22A1">
        <w:t xml:space="preserve"> </w:t>
      </w:r>
      <w:r>
        <w:t xml:space="preserve">The loss of a particular homolog, bS21-2, leads to changes in abundance for about 160 proteins that cannot be explained by changes in transcript abundance </w:t>
      </w:r>
      <w:r>
        <w:fldChar w:fldCharType="begin"/>
      </w:r>
      <w:r>
        <w:instrText xml:space="preserve"> ADDIN ZOTERO_ITEM CSL_CITATION {"citationID":"RQKlyts5","properties":{"formattedCitation":"(Trautmann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r w:rsidR="009B571D">
        <w:t>This suggest</w:t>
      </w:r>
      <w:r w:rsidR="004321E3">
        <w:t>s</w:t>
      </w:r>
      <w:r w:rsidR="009B571D">
        <w:t xml:space="preserve"> that regulation is happening at the level of translation. </w:t>
      </w:r>
      <w:r w:rsidR="001D4BF0">
        <w:t>Cells lacking bS21-2 also exhibit a</w:t>
      </w:r>
      <w:r>
        <w:t xml:space="preserve"> reduction in protein abundance for a key virulence factor, the type six secretion system (T6SS), a decrease in intramacrophage survival, and to a growth defect </w:t>
      </w:r>
      <w:r w:rsidRPr="00B0150E">
        <w:rPr>
          <w:i/>
          <w:iCs/>
        </w:rPr>
        <w:t>in vitro</w:t>
      </w:r>
      <w:r>
        <w:rPr>
          <w:i/>
          <w:iCs/>
        </w:rPr>
        <w:t xml:space="preserve"> </w:t>
      </w:r>
      <w:r w:rsidRPr="008A2C3C">
        <w:fldChar w:fldCharType="begin"/>
      </w:r>
      <w:r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Pr="008A2C3C">
        <w:fldChar w:fldCharType="separate"/>
      </w:r>
      <w:r w:rsidRPr="008A2C3C">
        <w:rPr>
          <w:noProof/>
        </w:rPr>
        <w:t>(Trautmann &amp; Ramsey, 2022)</w:t>
      </w:r>
      <w:r w:rsidRPr="008A2C3C">
        <w:fldChar w:fldCharType="end"/>
      </w:r>
      <w:r>
        <w:t xml:space="preserve">. </w:t>
      </w:r>
      <w:r w:rsidR="00DD21CE">
        <w:t>Notably, while adding bS21-1 or bS21-3 to these cells can influence or two of these phenotypes, only the</w:t>
      </w:r>
      <w:r>
        <w:t xml:space="preserve"> reintroduction of bS21-2</w:t>
      </w:r>
      <w:r w:rsidR="00DD21CE">
        <w:t xml:space="preserve"> can complement all of them</w:t>
      </w:r>
      <w:r>
        <w:t xml:space="preserve"> </w:t>
      </w:r>
      <w:r>
        <w:fldChar w:fldCharType="begin"/>
      </w:r>
      <w:r>
        <w:instrText xml:space="preserve"> ADDIN ZOTERO_ITEM CSL_CITATION {"citationID":"cGV5oSE6","properties":{"formattedCitation":"(Trautmann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rsidR="00F60FB7">
        <w:t xml:space="preserve">. </w:t>
      </w:r>
      <w:r>
        <w:t xml:space="preserve">These data raise the possibility that each bS21 homolog may control the expression of different genes, possibly by preferentially promoting translation initiation of different transcripts. </w:t>
      </w:r>
      <w:r w:rsidR="00DD21CE">
        <w:t xml:space="preserve">We will use </w:t>
      </w:r>
      <w:r>
        <w:t xml:space="preserve">ribosome profiling to ascertain </w:t>
      </w:r>
      <w:r w:rsidR="00DD21CE">
        <w:t xml:space="preserve">which transcripts are being translated by ribosomes containing each of the </w:t>
      </w:r>
      <w:r w:rsidR="00DD21CE" w:rsidRPr="00C55C0F">
        <w:rPr>
          <w:i/>
          <w:iCs/>
        </w:rPr>
        <w:t xml:space="preserve">F. tularensis </w:t>
      </w:r>
      <w:r w:rsidR="00DD21CE">
        <w:t xml:space="preserve">bS21 homologs. This will allow us to determine </w:t>
      </w:r>
      <w:r>
        <w:t>whether each bS21 homolog</w:t>
      </w:r>
      <w:r w:rsidRPr="00B924C5">
        <w:t xml:space="preserve"> </w:t>
      </w:r>
      <w:r>
        <w:t xml:space="preserve">preferentially translates a specific subclass of mRNAs </w:t>
      </w:r>
      <w:r w:rsidR="00DD21CE">
        <w:t xml:space="preserve">and </w:t>
      </w:r>
      <w:r>
        <w:t xml:space="preserve">will provide insight into the </w:t>
      </w:r>
      <w:r w:rsidR="00DD21CE">
        <w:t>role of</w:t>
      </w:r>
      <w:r>
        <w:t xml:space="preserve"> bS21 in translation initiation. We hypothesize the different populations of ribosomes in </w:t>
      </w:r>
      <w:r w:rsidRPr="00C55C0F">
        <w:rPr>
          <w:i/>
          <w:iCs/>
        </w:rPr>
        <w:t>F. tularensis</w:t>
      </w:r>
      <w:r>
        <w:t xml:space="preserve"> will preferentially translate </w:t>
      </w:r>
      <w:r w:rsidR="00AF45B2">
        <w:t xml:space="preserve">specific </w:t>
      </w:r>
      <w:r>
        <w:t>mRNAs.</w:t>
      </w:r>
    </w:p>
    <w:p w14:paraId="77A00A89" w14:textId="77777777" w:rsidR="005A06B8" w:rsidRPr="00B16F9C" w:rsidRDefault="005A06B8" w:rsidP="005A06B8">
      <w:pPr>
        <w:spacing w:line="480" w:lineRule="auto"/>
        <w:contextualSpacing/>
        <w:jc w:val="both"/>
      </w:pPr>
      <w:r>
        <w:rPr>
          <w:u w:val="single"/>
        </w:rPr>
        <w:lastRenderedPageBreak/>
        <w:t xml:space="preserve">A </w:t>
      </w:r>
      <w:r w:rsidRPr="00C32209">
        <w:rPr>
          <w:u w:val="single"/>
        </w:rPr>
        <w:t xml:space="preserve">connection between bS21 and </w:t>
      </w:r>
      <w:r>
        <w:rPr>
          <w:u w:val="single"/>
        </w:rPr>
        <w:t xml:space="preserve">antibiotic resistance in </w:t>
      </w:r>
      <w:r w:rsidRPr="00BE22A1">
        <w:rPr>
          <w:i/>
          <w:iCs/>
          <w:u w:val="single"/>
        </w:rPr>
        <w:t>S. aureus</w:t>
      </w:r>
    </w:p>
    <w:p w14:paraId="51C11CDC" w14:textId="77777777" w:rsidR="005A06B8" w:rsidRPr="00F4637B" w:rsidRDefault="005A06B8" w:rsidP="005A06B8">
      <w:pPr>
        <w:spacing w:line="480" w:lineRule="auto"/>
        <w:ind w:firstLine="720"/>
        <w:contextualSpacing/>
        <w:jc w:val="both"/>
      </w:pPr>
      <w:r w:rsidRPr="00BE22A1">
        <w:rPr>
          <w:i/>
          <w:iCs/>
        </w:rPr>
        <w:t>S. aureus</w:t>
      </w:r>
      <w:r>
        <w:t xml:space="preserve"> is a commensal bacterium ubiquitous in the environment and found on the skin of humans and other animals. Although it is usually harmless, it can cause skin infections, foodborne illness, and septicemia </w:t>
      </w:r>
      <w:r>
        <w:fldChar w:fldCharType="begin"/>
      </w:r>
      <w:r>
        <w:instrText xml:space="preserve"> ADDIN ZOTERO_ITEM CSL_CITATION {"citationID":"mZDULZIG","properties":{"formattedCitation":"(Grace &amp; Fetsch, 2018)","plainCitation":"(Grace &amp; Fetsch, 2018)","noteIndex":0},"citationItems":[{"id":1021,"uris":["http://zotero.org/users/9677915/items/GCS88RFR"],"itemData":{"id":1021,"type":"chapter","abstract":"The genus Staphylococcus currently comprises more than 50 species. These small, hardy bacteria are normal inhabitants of the skin and mucous membrane in many animal species including humans; they are also ubiquitous in the environment. However, Staphylococcus aureus is also an important pathogen of humans and animals. It is a common cause of skin infections and foodborne disease in people, as well as sepsis in hospitals and nurseries. It is also an important cause of mastitis in dairy animals and of bone and joint lesions in poultry (bumblefoot) as well as an occasional cause of skin infections in livestock. Companion animals, such as dogs, cats, and horses, may play a role in S. aureus transmission; they are also vulnerable to S. aureus infections (Bierowiec et al., 2016). This chapter aims to provide a brief introduction of the versatile bacterial organism S. aureus, with special focus on its role as foodborne pathogen both, from the perspective of the industrialized and the developing word. Moreover, this chapter briefly outlines the content of the whole book.","container-title":"Staphylococcus aureus","ISBN":"978-0-12-809671-0","note":"DOI: 10.1016/B978-0-12-809671-0.00001-2","page":"3-10","publisher":"Academic Press","source":"ScienceDirect","title":"Chapter 1 - Staphylococcus aureus—A Foodborne Pathogen: Epidemiology, Detection, Characterization, Prevention, and Control: An Overview","title-short":"Chapter 1 - Staphylococcus aureus—A Foodborne Pathogen","URL":"https://www.sciencedirect.com/science/article/pii/B9780128096710000012","author":[{"family":"Grace","given":"Delia"},{"family":"Fetsch","given":"Alexandra"}],"editor":[{"family":"Fetsch","given":"Alexandra"}],"accessed":{"date-parts":[["2023",12,28]]},"issued":{"date-parts":[["2018",1,1]]}}}],"schema":"https://github.com/citation-style-language/schema/raw/master/csl-citation.json"} </w:instrText>
      </w:r>
      <w:r>
        <w:fldChar w:fldCharType="separate"/>
      </w:r>
      <w:r>
        <w:rPr>
          <w:noProof/>
        </w:rPr>
        <w:t>(Grace &amp; Fetsch, 2018)</w:t>
      </w:r>
      <w:r>
        <w:fldChar w:fldCharType="end"/>
      </w:r>
      <w:r>
        <w:t xml:space="preserve">. </w:t>
      </w:r>
      <w:r w:rsidRPr="00F4637B">
        <w:t xml:space="preserve">In </w:t>
      </w:r>
      <w:r w:rsidRPr="00F4637B">
        <w:rPr>
          <w:i/>
          <w:iCs/>
        </w:rPr>
        <w:t>S</w:t>
      </w:r>
      <w:r>
        <w:rPr>
          <w:i/>
          <w:iCs/>
        </w:rPr>
        <w:t>.</w:t>
      </w:r>
      <w:r w:rsidRPr="00F4637B">
        <w:rPr>
          <w:i/>
          <w:iCs/>
        </w:rPr>
        <w:t xml:space="preserve"> aureus, </w:t>
      </w:r>
      <w:r w:rsidRPr="00F4637B">
        <w:t>resistance to antibiotics is an increasing threat to public healt</w:t>
      </w:r>
      <w:r>
        <w:t xml:space="preserve">h </w:t>
      </w:r>
      <w:r>
        <w:fldChar w:fldCharType="begin"/>
      </w:r>
      <w:r>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fldChar w:fldCharType="separate"/>
      </w:r>
      <w:r>
        <w:rPr>
          <w:noProof/>
        </w:rPr>
        <w:t>(Sader et al., 2009)</w:t>
      </w:r>
      <w:r>
        <w:fldChar w:fldCharType="end"/>
      </w:r>
      <w:r w:rsidRPr="00F4637B">
        <w:t xml:space="preserve">. Methicillin-resistant </w:t>
      </w:r>
      <w:r w:rsidRPr="00F4637B">
        <w:rPr>
          <w:i/>
          <w:iCs/>
        </w:rPr>
        <w:t>S. aureus</w:t>
      </w:r>
      <w:r w:rsidRPr="00F4637B">
        <w:t xml:space="preserve"> (MRSA) is a multi-drug resistant strain </w:t>
      </w:r>
      <w:r>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t xml:space="preserve"> </w:t>
      </w:r>
      <w:r>
        <w:fldChar w:fldCharType="begin"/>
      </w:r>
      <w:r>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fldChar w:fldCharType="separate"/>
      </w:r>
      <w:r>
        <w:rPr>
          <w:noProof/>
        </w:rPr>
        <w:t>(Cui et al., 2006; Hanaki et al., 1998)</w:t>
      </w:r>
      <w:r>
        <w:fldChar w:fldCharType="end"/>
      </w:r>
      <w:r w:rsidRPr="00F4637B">
        <w:t xml:space="preserve">. Independent studies looking into </w:t>
      </w:r>
      <w:r>
        <w:t>the</w:t>
      </w:r>
      <w:r w:rsidRPr="00F4637B">
        <w:t xml:space="preserve"> </w:t>
      </w:r>
      <w:r>
        <w:t>acquisition of vancomycin-resistance</w:t>
      </w:r>
      <w:r w:rsidRPr="00F4637B">
        <w:t xml:space="preserve"> </w:t>
      </w:r>
      <w:r>
        <w:t>identified</w:t>
      </w:r>
      <w:r w:rsidRPr="00F4637B">
        <w:t xml:space="preserve"> mutations in </w:t>
      </w:r>
      <w:r>
        <w:t xml:space="preserve">the gene encoding bS21, </w:t>
      </w:r>
      <w:r w:rsidRPr="00F4637B">
        <w:rPr>
          <w:i/>
          <w:iCs/>
        </w:rPr>
        <w:t>rpsU</w:t>
      </w:r>
      <w:r w:rsidRPr="0046128A">
        <w:t xml:space="preserve"> </w:t>
      </w:r>
      <w:r w:rsidRPr="0046128A">
        <w:fldChar w:fldCharType="begin"/>
      </w:r>
      <w:r>
        <w:instrText xml:space="preserve"> ADDIN ZOTERO_ITEM CSL_CITATION {"citationID":"TsvXTh0y","properties":{"formattedCitation":"(Basco et al., 2019; Cameron et al., 2012; Friedman et al., 2006; Matsuo et al., 2013)","plainCitation":"(Basco et al., 2019; Cameron et al., 2012; Friedman et al., 2006; Matsuo et al., 2013)","noteIndex":0},"citationItems":[{"id":805,"uris":["http://zotero.org/users/9677915/items/S46HUFQ2"],"itemData":{"id":805,"type":"article-journal","abstract":"Purpose.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E."}],"issued":{"date-parts":[["2019"]]}}},{"id":1176,"uris":["http://zotero.org/users/9677915/items/E4MSI7YK"],"itemData":{"id":1176,"type":"article-journal","abstract":"The genetic mechanisms that contribute to reduced susceptibility to vancomycin in Staphylococcus aureus are complex and heterogeneous. In addition, debate is emerging as to the true effect of reduced susceptibility to vancomycin on staphylococcal virulence. To investigate this, comparative genomics was performed on a collection of vancomycin-exposed isogenic S. aureus pairs (14 strains in total). Previously described mutations were observed in genes such as vraG, agrA, yvqF, and rpoB; however, a new mechanism was identified involving a serine/threonine phosphatase, Stp1. After constructing an stp1 deletion mutant, we showed that stp1 is important in vancomycin susceptibility and cell wall biosynthesis. Gene expression studies showed that stp1 also regulates virulence genes, including a hemolysin, superantigen-like protein, and phenol-soluble modulin, and that the deletion mutant is attenuated in virulence in vivo. Stp1 provides a new link between vancomycin susceptibility and virulence in S. aureus.","container-title":"The Journal of Infectious Diseases","DOI":"10.1093/infdis/jis252","ISSN":"0022-1899","issue":"11","journalAbbreviation":"J Infect Dis","note":"PMID: 22492855\nPMCID: PMC3415852","page":"1677-1687","source":"PubMed Central","title":"Serine/Threonine Phosphatase Stp1 Contributes to Reduced Susceptibility to Vancomycin and Virulence in Staphylococcus aureus","volume":"205","author":[{"family":"Cameron","given":"David R."},{"family":"Ward","given":"Doyle V."},{"family":"Kostoulias","given":"Xenia"},{"family":"Howden","given":"Benjamin P."},{"family":"Moellering","given":"Robert C."},{"family":"Eliopoulos","given":"George M."},{"family":"Peleg","given":"Anton Y."}],"issued":{"date-parts":[["2012",6,1]]}}},{"id":1019,"uris":["http://zotero.org/users/9677915/items/XZBQ6GM3"],"itemData":{"id":1019,"type":"article-journal","abstract":"Daptomycin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A."}],"issued":{"date-parts":[["2006",6]]}}},{"id":1173,"uris":["http://zotero.org/users/9677915/items/AV6BP5XG"],"itemData":{"id":1173,"type":"article-journal","abstract":"Heterogeneous vancomycin-intermediate Staphylococcus aureus (hVISA) spontaneously produces VISA cells within its cell population at a frequency of 10−6 or greater. We established a total of 45 VISA mutant strains independently obtained from hVISA Mu3 and its related strains by one-step vancomycin selection. We then performed high-throughput whole-genome sequencing of the 45 strains and their parent strains to identify the genes involved in the hVISA-to-VISA phenotypic conversion. A comparative genome study showed that all the VISA strains tested carried a unique set of mutations. All of the 45 VISA strains carried 1 to 4 mutations possibly affecting the expression of a total of 48 genes. Among them, 32 VISA strains carried only one gene affected by a single mutation. As many as 20 genes in more than eight functional categories were affected in the 32 VISA strains, which explained the extremely high rates of the hVISA-to-VISA phenotypic conversion. Five</w:instrText>
      </w:r>
      <w:r w:rsidRPr="00BE22A1">
        <w:rPr>
          <w:lang w:val="es-419"/>
        </w:rPr>
        <w:instrText xml:space="preserve"> genes, rpoB, rpoC, walK, pbp4, and pp2c, were previously reported as being involved in vancomycin resistance. Fifteen remaining genes were newly identified as associated with vancomycin resistance in this study. The gene most frequently affected (6 out of 32 strains) was cmk, which encodes cytidylate kinase, followed closely by rpoB (5 out of 32), encoding the </w:instrText>
      </w:r>
      <w:r>
        <w:instrText>β</w:instrText>
      </w:r>
      <w:r w:rsidRPr="00BE22A1">
        <w:rPr>
          <w:lang w:val="es-419"/>
        </w:rPr>
        <w:instrText xml:space="preserve"> subunit of RNA polymerase. A mutation prevalence study also revealed a sizable number of cmk mutants among clinical VISA strains (7 out of 38 [18%]). Reduced cytidylate kinase activity in cmk mutant strains is proposed to contribute to the hVISA-to-VISA phenotype conversion by thickening the cell wall and reducing the cell growth rate.","container-title":"Antimicrobial Agents and Chemotherapy","DOI":"10.1128/AAC.00425-13","ISSN":"0066-4804","issue":"12","journalAbbreviation":"Antimicrob Agents Chemother","note":"PMID: 24018261\nPMCID: PMC3837870","page":"5843-5853","source":"PubMed Central","title":"Comprehensive Identification of Mutations Responsible for Heterogeneous Vancomycin-Intermediate Staphylococcus aureus (hVISA)-to-VISA Conversion in Laboratory-Generated VISA Strains Derived from hVISA Clinical Strain Mu3","volume":"57","author":[{"family":"Matsuo","given":"Miki"},{"family":"Cui","given":"Longzhu"},{"family":"Kim","given":"Jeeyoung"},{"family":"Hiramatsu","given":"Keiichi"}],"issued":{"date-parts":[["2013",12]]}}}],"schema":"https://github.com/citation-style-language/schema/raw/master/csl-citation.json"} </w:instrText>
      </w:r>
      <w:r w:rsidRPr="0046128A">
        <w:fldChar w:fldCharType="separate"/>
      </w:r>
      <w:r w:rsidRPr="00BE22A1">
        <w:rPr>
          <w:lang w:val="es-419"/>
        </w:rPr>
        <w:t>(Basco et al., 2019; Cameron et al., 2012; Friedman et al., 2006; Matsuo et al., 2013)</w:t>
      </w:r>
      <w:r w:rsidRPr="0046128A">
        <w:fldChar w:fldCharType="end"/>
      </w:r>
      <w:r w:rsidRPr="00BE22A1">
        <w:rPr>
          <w:lang w:val="es-419"/>
        </w:rPr>
        <w:t xml:space="preserve">. </w:t>
      </w:r>
      <w:r w:rsidRPr="00F4637B">
        <w:t xml:space="preserve">Additionally, a transposon insertion was found upstream of </w:t>
      </w:r>
      <w:r w:rsidRPr="00F4637B">
        <w:rPr>
          <w:i/>
          <w:iCs/>
        </w:rPr>
        <w:t>rpsU</w:t>
      </w:r>
      <w:r w:rsidRPr="00F4637B">
        <w:t xml:space="preserve"> that led to reduced susceptibility to </w:t>
      </w:r>
      <w:r>
        <w:t xml:space="preserve">vancomycin and </w:t>
      </w:r>
      <w:r w:rsidRPr="00F4637B">
        <w:t>daptomycin</w:t>
      </w:r>
      <w:r>
        <w:t xml:space="preserve"> </w:t>
      </w:r>
      <w:r>
        <w:fldChar w:fldCharType="begin"/>
      </w:r>
      <w:r>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fldChar w:fldCharType="separate"/>
      </w:r>
      <w:r w:rsidRPr="00101E6B">
        <w:rPr>
          <w:rFonts w:ascii="Calibri" w:cs="Calibri"/>
          <w:kern w:val="0"/>
        </w:rPr>
        <w:t>(Blake &amp; O’Neill, 2013)</w:t>
      </w:r>
      <w:r>
        <w:fldChar w:fldCharType="end"/>
      </w:r>
      <w:r w:rsidRPr="00F4637B">
        <w:t xml:space="preserve">. </w:t>
      </w:r>
    </w:p>
    <w:p w14:paraId="787CFDC2" w14:textId="113B3250" w:rsidR="005A06B8" w:rsidRPr="00F4637B" w:rsidRDefault="005A06B8" w:rsidP="005A06B8">
      <w:pPr>
        <w:spacing w:line="480" w:lineRule="auto"/>
        <w:ind w:firstLine="720"/>
        <w:contextualSpacing/>
        <w:jc w:val="both"/>
      </w:pPr>
      <w:r w:rsidRPr="00F4637B">
        <w:t xml:space="preserve">Vancomycin and daptomycin are two antibiotics that are considered “last resort” </w:t>
      </w:r>
      <w:r>
        <w:t>therapie</w:t>
      </w:r>
      <w:r w:rsidRPr="00F4637B">
        <w:t xml:space="preserve">s against an increasing threat of resistant </w:t>
      </w:r>
      <w:r w:rsidRPr="00F4637B">
        <w:rPr>
          <w:i/>
          <w:iCs/>
        </w:rPr>
        <w:t>S. aureus</w:t>
      </w:r>
      <w:r>
        <w:t xml:space="preserve"> </w:t>
      </w:r>
      <w:r>
        <w:fldChar w:fldCharType="begin"/>
      </w:r>
      <w:r>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fldChar w:fldCharType="separate"/>
      </w:r>
      <w:r>
        <w:rPr>
          <w:noProof/>
        </w:rPr>
        <w:t>(Cui et al., 2006; Miller et al., 2016)</w:t>
      </w:r>
      <w:r>
        <w:fldChar w:fldCharType="end"/>
      </w:r>
      <w:r w:rsidRPr="00F4637B">
        <w:t>. Vancomycin is a glycopeptide that disrupts the peptidoglycan layer of Gram-positive bacteria by blocking substrates for its synthesis</w:t>
      </w:r>
      <w:r>
        <w:t xml:space="preserve"> </w:t>
      </w:r>
      <w:r>
        <w:fldChar w:fldCharType="begin"/>
      </w:r>
      <w:r>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fldChar w:fldCharType="separate"/>
      </w:r>
      <w:r>
        <w:rPr>
          <w:noProof/>
        </w:rPr>
        <w:t>(Cui et al., 2006; Howden et al., 2010)</w:t>
      </w:r>
      <w:r>
        <w:fldChar w:fldCharType="end"/>
      </w:r>
      <w:r w:rsidRPr="00F4637B">
        <w:t xml:space="preserve">. Specifically, </w:t>
      </w:r>
      <w:r w:rsidR="009D2F80">
        <w:t>vancomycin</w:t>
      </w:r>
      <w:r w:rsidR="009D2F80" w:rsidRPr="00F4637B">
        <w:t xml:space="preserve"> </w:t>
      </w:r>
      <w:r w:rsidR="009D2F80">
        <w:t>binds to</w:t>
      </w:r>
      <w:r w:rsidR="009B571D">
        <w:t xml:space="preserve"> </w:t>
      </w:r>
      <w:r w:rsidRPr="00F4637B">
        <w:t>the D-alanyl-D-alanine residue (DDR) of lipid II precursor</w:t>
      </w:r>
      <w:r w:rsidR="009B571D">
        <w:t xml:space="preserve"> </w:t>
      </w:r>
      <w:r w:rsidR="009D2F80">
        <w:t xml:space="preserve">and prevents it from being used </w:t>
      </w:r>
      <w:r w:rsidR="009B571D">
        <w:t>by glycosyltransferase to synthesize peptidoglycan</w:t>
      </w:r>
      <w:r w:rsidRPr="00F4637B">
        <w:t>. Daptomycin is a lipopeptide that is often used when vancomycin fails. Its mechanism of action is still unclear, but it also disrupts cell wall synthesis</w:t>
      </w:r>
      <w:r>
        <w:t xml:space="preserve"> </w:t>
      </w:r>
      <w:r>
        <w:fldChar w:fldCharType="begin"/>
      </w:r>
      <w:r>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fldChar w:fldCharType="separate"/>
      </w:r>
      <w:r w:rsidRPr="008C5502">
        <w:rPr>
          <w:rFonts w:ascii="Calibri" w:cs="Calibri"/>
          <w:kern w:val="0"/>
        </w:rPr>
        <w:t>(Miller et al., 2016; Müller et al., 2016)</w:t>
      </w:r>
      <w:r>
        <w:fldChar w:fldCharType="end"/>
      </w:r>
      <w:r w:rsidRPr="00F4637B">
        <w:t xml:space="preserve">. </w:t>
      </w:r>
      <w:r>
        <w:t>It is remarkable that loss of a ribosomal protein, bS21, leads to increased resistance to</w:t>
      </w:r>
      <w:r w:rsidRPr="00F4637B">
        <w:t xml:space="preserve"> these two cell-wall-targeting</w:t>
      </w:r>
      <w:r>
        <w:t xml:space="preserve"> </w:t>
      </w:r>
      <w:r w:rsidRPr="00F4637B">
        <w:t>antibiotics</w:t>
      </w:r>
      <w:r>
        <w:t>. It</w:t>
      </w:r>
      <w:r w:rsidRPr="00715B1D">
        <w:t xml:space="preserve"> </w:t>
      </w:r>
      <w:r w:rsidRPr="00F4637B">
        <w:t xml:space="preserve">suggests that </w:t>
      </w:r>
      <w:r>
        <w:t xml:space="preserve">loss of </w:t>
      </w:r>
      <w:r w:rsidRPr="00F4637B">
        <w:t xml:space="preserve">bS21 may </w:t>
      </w:r>
      <w:r>
        <w:t xml:space="preserve">lead to downstream effects on gene expression that impact </w:t>
      </w:r>
      <w:r>
        <w:lastRenderedPageBreak/>
        <w:t xml:space="preserve">antibiotic resistance. </w:t>
      </w:r>
      <w:r w:rsidR="00BB51F7">
        <w:t xml:space="preserve">One mechanism of resistance against these cell-wall-targeting drugs that </w:t>
      </w:r>
      <w:r w:rsidR="00BB51F7" w:rsidRPr="00BE22A1">
        <w:rPr>
          <w:i/>
          <w:iCs/>
        </w:rPr>
        <w:t>S. aureus</w:t>
      </w:r>
      <w:r w:rsidR="00BB51F7">
        <w:t xml:space="preserve"> employs is a thickened cell wall. Thus</w:t>
      </w:r>
      <w:r>
        <w:t>, it is possible that bS21 is</w:t>
      </w:r>
      <w:r w:rsidRPr="00F4637B">
        <w:t xml:space="preserve"> involved in the regulation of cell wall synthesis.</w:t>
      </w:r>
      <w:r>
        <w:t xml:space="preserve"> </w:t>
      </w:r>
      <w:r w:rsidR="009B571D">
        <w:t>We will first</w:t>
      </w:r>
      <w:r>
        <w:t xml:space="preserve"> </w:t>
      </w:r>
      <w:r w:rsidR="00DF6793">
        <w:t>validate that</w:t>
      </w:r>
      <w:r w:rsidR="009B571D">
        <w:t xml:space="preserve"> loss of bS21 leads to antibiotic resistance, then we will measure the </w:t>
      </w:r>
      <w:r w:rsidR="00DF6793">
        <w:t xml:space="preserve">thickness of </w:t>
      </w:r>
      <w:r w:rsidR="009B571D">
        <w:t xml:space="preserve">walls of </w:t>
      </w:r>
      <w:r w:rsidR="00DF6793">
        <w:t>cells lacking bS21</w:t>
      </w:r>
      <w:r w:rsidR="009B571D">
        <w:t xml:space="preserve"> to determine if bS21 influences cell wall synthesis.  </w:t>
      </w:r>
    </w:p>
    <w:p w14:paraId="229D483A" w14:textId="77777777" w:rsidR="005A06B8" w:rsidRPr="0072053A" w:rsidRDefault="005A06B8" w:rsidP="005A06B8">
      <w:pPr>
        <w:pStyle w:val="Heading1"/>
        <w:spacing w:line="480" w:lineRule="auto"/>
        <w:rPr>
          <w:rFonts w:ascii="Calibri" w:hAnsi="Calibri" w:cs="Calibri"/>
          <w:b/>
          <w:bCs/>
          <w:color w:val="000000" w:themeColor="text1"/>
          <w:sz w:val="24"/>
          <w:szCs w:val="24"/>
        </w:rPr>
      </w:pPr>
      <w:r w:rsidRPr="0072053A">
        <w:rPr>
          <w:rFonts w:ascii="Calibri" w:hAnsi="Calibri" w:cs="Calibri"/>
          <w:b/>
          <w:bCs/>
          <w:color w:val="000000" w:themeColor="text1"/>
          <w:sz w:val="24"/>
          <w:szCs w:val="24"/>
        </w:rPr>
        <w:t>D. Methodology and Procedures</w:t>
      </w:r>
    </w:p>
    <w:p w14:paraId="06E8A38E" w14:textId="5DD4A767" w:rsidR="005A06B8" w:rsidRPr="00C55C0F" w:rsidRDefault="005A06B8" w:rsidP="005A06B8">
      <w:pPr>
        <w:spacing w:line="480" w:lineRule="auto"/>
        <w:contextualSpacing/>
        <w:jc w:val="both"/>
        <w:rPr>
          <w:b/>
          <w:bCs/>
        </w:rPr>
      </w:pPr>
      <w:r w:rsidRPr="00C55C0F">
        <w:rPr>
          <w:b/>
          <w:bCs/>
        </w:rPr>
        <w:t xml:space="preserve">Specific Aim 1. </w:t>
      </w:r>
      <w:r w:rsidR="00574953" w:rsidRPr="00574953">
        <w:rPr>
          <w:b/>
          <w:bCs/>
        </w:rPr>
        <w:t xml:space="preserve">Determine how incorporation of specific </w:t>
      </w:r>
      <w:r w:rsidR="00574953" w:rsidRPr="007F1C59">
        <w:rPr>
          <w:b/>
          <w:bCs/>
          <w:i/>
          <w:iCs/>
        </w:rPr>
        <w:t>F. tularensis</w:t>
      </w:r>
      <w:r w:rsidR="00574953">
        <w:rPr>
          <w:b/>
          <w:bCs/>
        </w:rPr>
        <w:t xml:space="preserve"> </w:t>
      </w:r>
      <w:r w:rsidR="00574953" w:rsidRPr="00574953">
        <w:rPr>
          <w:b/>
          <w:bCs/>
        </w:rPr>
        <w:t xml:space="preserve">bS21 homologs into the ribosome influences translation initiation on transcripts, </w:t>
      </w:r>
      <w:r w:rsidR="00DA5ADE" w:rsidRPr="00574953">
        <w:rPr>
          <w:b/>
          <w:bCs/>
        </w:rPr>
        <w:t>genome wide</w:t>
      </w:r>
      <w:r w:rsidR="00574953" w:rsidRPr="00574953">
        <w:rPr>
          <w:b/>
          <w:bCs/>
        </w:rPr>
        <w:t>.</w:t>
      </w:r>
    </w:p>
    <w:p w14:paraId="25D720D5" w14:textId="7160E9B5" w:rsidR="005A06B8" w:rsidRDefault="005A06B8" w:rsidP="005A06B8">
      <w:pPr>
        <w:spacing w:line="480" w:lineRule="auto"/>
        <w:contextualSpacing/>
        <w:jc w:val="both"/>
      </w:pPr>
      <w:r w:rsidRPr="003621C5">
        <w:rPr>
          <w:u w:val="single"/>
        </w:rPr>
        <w:t>Overall strategy</w:t>
      </w:r>
    </w:p>
    <w:p w14:paraId="49133F3B" w14:textId="54BAE478" w:rsidR="005A06B8" w:rsidRDefault="00CE3D2A" w:rsidP="005A06B8">
      <w:pPr>
        <w:spacing w:line="480" w:lineRule="auto"/>
        <w:ind w:firstLine="720"/>
        <w:contextualSpacing/>
        <w:jc w:val="both"/>
      </w:pPr>
      <w:r>
        <w:t xml:space="preserve">Ribosome profiling will allow us to see which transcripts are translated by </w:t>
      </w:r>
      <w:r w:rsidR="00BB51F7">
        <w:t xml:space="preserve">different </w:t>
      </w:r>
      <w:r w:rsidR="00DF3772">
        <w:t>class</w:t>
      </w:r>
      <w:r w:rsidR="00BB51F7">
        <w:t>es</w:t>
      </w:r>
      <w:r>
        <w:t xml:space="preserve"> of ribosomes in </w:t>
      </w:r>
      <w:r w:rsidRPr="00CE3D2A">
        <w:rPr>
          <w:i/>
          <w:iCs/>
        </w:rPr>
        <w:t>F. tularensis</w:t>
      </w:r>
      <w:r>
        <w:t xml:space="preserve">. </w:t>
      </w:r>
      <w:r w:rsidR="005A06B8">
        <w:t xml:space="preserve">Ribosome profiling is a technique that sequences mRNA footprints protected by actively translating ribosomes (Figure 2). The measured density of ribosomes </w:t>
      </w:r>
      <w:r w:rsidR="00BB51F7">
        <w:t xml:space="preserve">present </w:t>
      </w:r>
      <w:r w:rsidR="005A06B8">
        <w:t xml:space="preserve">on a given transcript is representative of protein synthesis, allowing for a global snapshot of what is being translated across the genome </w:t>
      </w:r>
      <w:r w:rsidR="005A06B8">
        <w:fldChar w:fldCharType="begin"/>
      </w:r>
      <w:r w:rsidR="005A06B8">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(Brar &amp; Weissman, 2015; Johnson &amp; Li, 2018; Mohammad &amp; Buskirk, 2019)</w:t>
      </w:r>
      <w:r w:rsidR="005A06B8">
        <w:fldChar w:fldCharType="end"/>
      </w:r>
      <w:r w:rsidR="005A06B8">
        <w:t xml:space="preserve">. A parallel analysis of mRNA abundance using RNA Seq will allow us </w:t>
      </w:r>
      <w:r w:rsidR="005E124A">
        <w:t>to identify</w:t>
      </w:r>
      <w:r w:rsidR="005A06B8">
        <w:t xml:space="preserve"> which transcripts are present in the cell. </w:t>
      </w:r>
    </w:p>
    <w:p w14:paraId="026D8896" w14:textId="77777777" w:rsidR="005A06B8" w:rsidRDefault="005A06B8" w:rsidP="00C55C0F">
      <w:pPr>
        <w:spacing w:line="240" w:lineRule="auto"/>
        <w:contextualSpacing/>
        <w:jc w:val="both"/>
      </w:pPr>
      <w:r>
        <w:rPr>
          <w:noProof/>
        </w:rPr>
        <w:lastRenderedPageBreak/>
        <w:drawing>
          <wp:inline distT="0" distB="0" distL="0" distR="0" wp14:anchorId="2CC6FB95" wp14:editId="7F029D94">
            <wp:extent cx="6032920" cy="2440745"/>
            <wp:effectExtent l="0" t="0" r="0" b="0"/>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580" cy="2455577"/>
                    </a:xfrm>
                    <a:prstGeom prst="rect">
                      <a:avLst/>
                    </a:prstGeom>
                  </pic:spPr>
                </pic:pic>
              </a:graphicData>
            </a:graphic>
          </wp:inline>
        </w:drawing>
      </w:r>
    </w:p>
    <w:p w14:paraId="3F1DA747" w14:textId="77777777" w:rsidR="005A06B8" w:rsidRPr="00C55C0F" w:rsidRDefault="005A06B8" w:rsidP="005A06B8">
      <w:pPr>
        <w:pStyle w:val="Caption"/>
        <w:rPr>
          <w:b/>
          <w:bCs/>
          <w:i w:val="0"/>
          <w:iCs w:val="0"/>
          <w:color w:val="000000" w:themeColor="text1"/>
          <w:sz w:val="22"/>
          <w:szCs w:val="22"/>
          <w:u w:val="single"/>
        </w:rPr>
      </w:pPr>
      <w:r w:rsidRPr="00C55C0F">
        <w:rPr>
          <w:b/>
          <w:bCs/>
          <w:i w:val="0"/>
          <w:iCs w:val="0"/>
          <w:color w:val="000000" w:themeColor="text1"/>
          <w:sz w:val="22"/>
          <w:szCs w:val="22"/>
        </w:rPr>
        <w:t>Figure 2</w:t>
      </w:r>
      <w:r w:rsidRPr="00C55C0F">
        <w:rPr>
          <w:b/>
          <w:bCs/>
          <w:i w:val="0"/>
          <w:iCs w:val="0"/>
          <w:noProof/>
          <w:color w:val="000000" w:themeColor="text1"/>
          <w:sz w:val="22"/>
          <w:szCs w:val="22"/>
        </w:rPr>
        <w:t>.</w:t>
      </w:r>
      <w:r w:rsidRPr="00C55C0F">
        <w:rPr>
          <w:b/>
          <w:bCs/>
          <w:i w:val="0"/>
          <w:iCs w:val="0"/>
          <w:color w:val="000000" w:themeColor="text1"/>
          <w:sz w:val="22"/>
          <w:szCs w:val="22"/>
        </w:rPr>
        <w:t xml:space="preserve"> Workflow of ribosome profiling from isolation of ribosomes to library preparation to analysis </w:t>
      </w:r>
      <w:r w:rsidRPr="00C55C0F">
        <w:rPr>
          <w:b/>
          <w:bCs/>
          <w:i w:val="0"/>
          <w:iCs w:val="0"/>
          <w:color w:val="000000" w:themeColor="text1"/>
          <w:sz w:val="22"/>
          <w:szCs w:val="22"/>
        </w:rPr>
        <w:fldChar w:fldCharType="begin"/>
      </w:r>
      <w:r w:rsidRPr="00C55C0F">
        <w:rPr>
          <w:b/>
          <w:bCs/>
          <w:i w:val="0"/>
          <w:iCs w:val="0"/>
          <w:color w:val="000000" w:themeColor="text1"/>
          <w:sz w:val="22"/>
          <w:szCs w:val="22"/>
        </w:rPr>
        <w:instrText xml:space="preserve"> ADDIN ZOTERO_ITEM CSL_CITATION {"citationID":"o3FSL9xC","properties":{"formattedCitation":"(Johnson &amp; Li, 2018)","plainCitation":"(Johnson &amp; Li, 2018)","noteIndex":0},"citationItems":[{"id":762,"uris":["http://zotero.org/users/9677915/items/QDD86JW6"],"itemData":{"id":762,"type":"chapter","abstract":"Bacteria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J."}],"accessed":{"date-parts":[["2023",4,10]]},"issued":{"date-parts":[["2018",1,1]]}}}],"schema":"https://github.com/citation-style-language/schema/raw/master/csl-citation.json"} </w:instrText>
      </w:r>
      <w:r w:rsidRPr="00C55C0F">
        <w:rPr>
          <w:b/>
          <w:bCs/>
          <w:i w:val="0"/>
          <w:iCs w:val="0"/>
          <w:color w:val="000000" w:themeColor="text1"/>
          <w:sz w:val="22"/>
          <w:szCs w:val="22"/>
        </w:rPr>
        <w:fldChar w:fldCharType="separate"/>
      </w:r>
      <w:r w:rsidRPr="00C55C0F">
        <w:rPr>
          <w:b/>
          <w:bCs/>
          <w:i w:val="0"/>
          <w:iCs w:val="0"/>
          <w:noProof/>
          <w:color w:val="000000" w:themeColor="text1"/>
          <w:sz w:val="22"/>
          <w:szCs w:val="22"/>
        </w:rPr>
        <w:t>(Johnson &amp; Li, 2018)</w:t>
      </w:r>
      <w:r w:rsidRPr="00C55C0F">
        <w:rPr>
          <w:b/>
          <w:bCs/>
          <w:i w:val="0"/>
          <w:iCs w:val="0"/>
          <w:color w:val="000000" w:themeColor="text1"/>
          <w:sz w:val="22"/>
          <w:szCs w:val="22"/>
        </w:rPr>
        <w:fldChar w:fldCharType="end"/>
      </w:r>
      <w:r w:rsidRPr="00C55C0F">
        <w:rPr>
          <w:b/>
          <w:bCs/>
          <w:i w:val="0"/>
          <w:iCs w:val="0"/>
          <w:color w:val="000000" w:themeColor="text1"/>
          <w:sz w:val="22"/>
          <w:szCs w:val="22"/>
        </w:rPr>
        <w:t>.</w:t>
      </w:r>
    </w:p>
    <w:p w14:paraId="6FA71EE4" w14:textId="77777777" w:rsidR="005A06B8" w:rsidRDefault="005A06B8" w:rsidP="005A06B8">
      <w:pPr>
        <w:spacing w:line="480" w:lineRule="auto"/>
        <w:ind w:firstLine="720"/>
        <w:contextualSpacing/>
        <w:jc w:val="both"/>
      </w:pPr>
    </w:p>
    <w:p w14:paraId="67A1C0A7" w14:textId="6D4144F4" w:rsidR="005A06B8" w:rsidRDefault="002130A9" w:rsidP="005A06B8">
      <w:pPr>
        <w:spacing w:line="480" w:lineRule="auto"/>
        <w:ind w:firstLine="720"/>
        <w:contextualSpacing/>
        <w:jc w:val="both"/>
      </w:pPr>
      <w:r>
        <w:t xml:space="preserve">The workflow diagrammed in Figure 2 will be used to capture </w:t>
      </w:r>
      <w:proofErr w:type="gramStart"/>
      <w:r>
        <w:t>all of</w:t>
      </w:r>
      <w:proofErr w:type="gramEnd"/>
      <w:r>
        <w:t xml:space="preserve"> the ribosomes in a cell.  </w:t>
      </w:r>
      <w:proofErr w:type="gramStart"/>
      <w:r w:rsidR="005A06B8">
        <w:t>In order to</w:t>
      </w:r>
      <w:proofErr w:type="gramEnd"/>
      <w:r w:rsidR="005A06B8">
        <w:t xml:space="preserve"> assess which </w:t>
      </w:r>
      <w:r w:rsidR="00BB51F7">
        <w:t xml:space="preserve">ribosomes containing </w:t>
      </w:r>
      <w:r>
        <w:t xml:space="preserve">a specific </w:t>
      </w:r>
      <w:r w:rsidR="00BB51F7">
        <w:t xml:space="preserve">bS21 </w:t>
      </w:r>
      <w:r w:rsidR="005A06B8">
        <w:t xml:space="preserve">homolog </w:t>
      </w:r>
      <w:r w:rsidR="00BB51F7">
        <w:t xml:space="preserve">are </w:t>
      </w:r>
      <w:r w:rsidR="005A06B8">
        <w:t>translating which mRNAs, we</w:t>
      </w:r>
      <w:r>
        <w:t xml:space="preserve"> </w:t>
      </w:r>
      <w:r w:rsidR="00BD4698">
        <w:t xml:space="preserve">will </w:t>
      </w:r>
      <w:r>
        <w:t>isolate each class of ribosomes</w:t>
      </w:r>
      <w:r w:rsidR="00A202B9">
        <w:t xml:space="preserve"> via </w:t>
      </w:r>
      <w:r w:rsidR="00BD4698">
        <w:t xml:space="preserve">immunoprecipitation. </w:t>
      </w:r>
      <w:r>
        <w:t xml:space="preserve">We </w:t>
      </w:r>
      <w:r w:rsidR="00DA5ADE">
        <w:t>will immunoprecipitate</w:t>
      </w:r>
      <w:r w:rsidR="005A06B8">
        <w:t xml:space="preserve"> </w:t>
      </w:r>
      <w:r w:rsidR="00BD4698">
        <w:t xml:space="preserve">70S ribosomes containing </w:t>
      </w:r>
      <w:r w:rsidR="005A06B8">
        <w:t xml:space="preserve">each homolog </w:t>
      </w:r>
      <w:r w:rsidR="00BD4698">
        <w:t xml:space="preserve">individually using </w:t>
      </w:r>
      <w:r w:rsidR="005A06B8">
        <w:t xml:space="preserve">a different epitope attached to the C-terminus of </w:t>
      </w:r>
      <w:r w:rsidR="00BD4698">
        <w:t xml:space="preserve">each </w:t>
      </w:r>
      <w:r w:rsidR="005A06B8">
        <w:t xml:space="preserve">bS21 </w:t>
      </w:r>
      <w:r w:rsidR="00BD4698">
        <w:t xml:space="preserve">homolog </w:t>
      </w:r>
      <w:r w:rsidR="005A06B8">
        <w:t>under the control of its native promoter</w:t>
      </w:r>
      <w:r>
        <w:t>.</w:t>
      </w:r>
      <w:r w:rsidR="00BD4698">
        <w:t xml:space="preserve"> </w:t>
      </w:r>
      <w:r>
        <w:t xml:space="preserve">To minimally perturb total ribosome amounts, we will construct a strain of </w:t>
      </w:r>
      <w:r w:rsidRPr="00B46282">
        <w:rPr>
          <w:i/>
          <w:iCs/>
        </w:rPr>
        <w:t>F</w:t>
      </w:r>
      <w:r>
        <w:t xml:space="preserve">. </w:t>
      </w:r>
      <w:r w:rsidRPr="00B46282">
        <w:rPr>
          <w:i/>
          <w:iCs/>
        </w:rPr>
        <w:t>tularensis</w:t>
      </w:r>
      <w:r>
        <w:t xml:space="preserve"> that contains each homolog with its respective tag (Figure 3)</w:t>
      </w:r>
      <w:r w:rsidR="00BD4698">
        <w:t>.</w:t>
      </w:r>
      <w:r>
        <w:t xml:space="preserve"> </w:t>
      </w:r>
    </w:p>
    <w:p w14:paraId="517DDDCF" w14:textId="598457BD" w:rsidR="002130A9" w:rsidRDefault="002130A9" w:rsidP="00DF3772">
      <w:pPr>
        <w:spacing w:line="480" w:lineRule="auto"/>
        <w:ind w:firstLine="720"/>
        <w:contextualSpacing/>
        <w:jc w:val="both"/>
      </w:pPr>
    </w:p>
    <w:p w14:paraId="6AE3940F" w14:textId="5D36C48A" w:rsidR="002130A9" w:rsidRDefault="002130A9" w:rsidP="00DF3772">
      <w:pPr>
        <w:spacing w:line="480" w:lineRule="auto"/>
        <w:ind w:firstLine="720"/>
        <w:contextualSpacing/>
        <w:jc w:val="both"/>
      </w:pPr>
    </w:p>
    <w:p w14:paraId="5A4A3692" w14:textId="43A90CA4" w:rsidR="00422BA1" w:rsidRDefault="00422BA1" w:rsidP="00DF3772">
      <w:pPr>
        <w:spacing w:line="480" w:lineRule="auto"/>
        <w:ind w:firstLine="720"/>
        <w:contextualSpacing/>
        <w:jc w:val="both"/>
      </w:pPr>
    </w:p>
    <w:p w14:paraId="4CAAE3BC" w14:textId="3A0A4CFC" w:rsidR="00422BA1" w:rsidRDefault="0014426D" w:rsidP="00DF3772">
      <w:pPr>
        <w:spacing w:line="480" w:lineRule="auto"/>
        <w:ind w:firstLine="720"/>
        <w:contextualSpacing/>
        <w:jc w:val="both"/>
      </w:pPr>
      <w:r w:rsidRPr="00C55C0F">
        <w:rPr>
          <w:noProof/>
          <w:color w:val="000000" w:themeColor="text1"/>
        </w:rPr>
        <w:drawing>
          <wp:anchor distT="0" distB="0" distL="114300" distR="114300" simplePos="0" relativeHeight="251658240" behindDoc="1" locked="0" layoutInCell="1" allowOverlap="1" wp14:anchorId="01C96BBB" wp14:editId="6C7AF8FC">
            <wp:simplePos x="0" y="0"/>
            <wp:positionH relativeFrom="column">
              <wp:posOffset>82716</wp:posOffset>
            </wp:positionH>
            <wp:positionV relativeFrom="paragraph">
              <wp:posOffset>-1193071</wp:posOffset>
            </wp:positionV>
            <wp:extent cx="2480310" cy="2291715"/>
            <wp:effectExtent l="0" t="0" r="0" b="0"/>
            <wp:wrapSquare wrapText="bothSides"/>
            <wp:docPr id="529383196" name="Picture 52938319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0310" cy="2291715"/>
                    </a:xfrm>
                    <a:prstGeom prst="rect">
                      <a:avLst/>
                    </a:prstGeom>
                  </pic:spPr>
                </pic:pic>
              </a:graphicData>
            </a:graphic>
            <wp14:sizeRelH relativeFrom="page">
              <wp14:pctWidth>0</wp14:pctWidth>
            </wp14:sizeRelH>
            <wp14:sizeRelV relativeFrom="page">
              <wp14:pctHeight>0</wp14:pctHeight>
            </wp14:sizeRelV>
          </wp:anchor>
        </w:drawing>
      </w:r>
    </w:p>
    <w:p w14:paraId="48E57648" w14:textId="77777777" w:rsidR="00422BA1" w:rsidRDefault="00422BA1" w:rsidP="00DF3772">
      <w:pPr>
        <w:spacing w:line="480" w:lineRule="auto"/>
        <w:ind w:firstLine="720"/>
        <w:contextualSpacing/>
        <w:jc w:val="both"/>
      </w:pPr>
    </w:p>
    <w:p w14:paraId="259E8A27" w14:textId="77777777" w:rsidR="00422BA1" w:rsidRDefault="00422BA1" w:rsidP="00DF3772">
      <w:pPr>
        <w:spacing w:line="480" w:lineRule="auto"/>
        <w:ind w:firstLine="720"/>
        <w:contextualSpacing/>
        <w:jc w:val="both"/>
      </w:pPr>
    </w:p>
    <w:p w14:paraId="057A0452" w14:textId="77777777" w:rsidR="002130A9" w:rsidRPr="00C55C0F" w:rsidRDefault="002130A9" w:rsidP="002130A9">
      <w:pPr>
        <w:pStyle w:val="Caption"/>
        <w:jc w:val="both"/>
        <w:rPr>
          <w:i w:val="0"/>
          <w:iCs w:val="0"/>
          <w:color w:val="000000" w:themeColor="text1"/>
          <w:sz w:val="22"/>
          <w:szCs w:val="22"/>
        </w:rPr>
      </w:pPr>
      <w:r w:rsidRPr="00787166">
        <w:rPr>
          <w:b/>
          <w:bCs/>
          <w:i w:val="0"/>
          <w:iCs w:val="0"/>
          <w:color w:val="000000" w:themeColor="text1"/>
          <w:sz w:val="22"/>
          <w:szCs w:val="22"/>
        </w:rPr>
        <w:lastRenderedPageBreak/>
        <w:t>Figure 3</w:t>
      </w:r>
      <w:r w:rsidRPr="00787166">
        <w:rPr>
          <w:b/>
          <w:bCs/>
          <w:i w:val="0"/>
          <w:iCs w:val="0"/>
          <w:noProof/>
          <w:color w:val="000000" w:themeColor="text1"/>
          <w:sz w:val="22"/>
          <w:szCs w:val="22"/>
        </w:rPr>
        <w:t>.</w:t>
      </w:r>
      <w:r w:rsidRPr="00787166">
        <w:rPr>
          <w:b/>
          <w:bCs/>
          <w:i w:val="0"/>
          <w:iCs w:val="0"/>
          <w:color w:val="000000" w:themeColor="text1"/>
          <w:sz w:val="22"/>
          <w:szCs w:val="22"/>
        </w:rPr>
        <w:t xml:space="preserve"> Diagram of </w:t>
      </w:r>
      <w:r w:rsidRPr="00787166">
        <w:rPr>
          <w:b/>
          <w:bCs/>
          <w:color w:val="000000" w:themeColor="text1"/>
          <w:sz w:val="22"/>
          <w:szCs w:val="22"/>
        </w:rPr>
        <w:t>F. tularensis</w:t>
      </w:r>
      <w:r w:rsidRPr="00787166">
        <w:rPr>
          <w:b/>
          <w:bCs/>
          <w:i w:val="0"/>
          <w:iCs w:val="0"/>
          <w:color w:val="000000" w:themeColor="text1"/>
          <w:sz w:val="22"/>
          <w:szCs w:val="22"/>
        </w:rPr>
        <w:t xml:space="preserve"> chromosome encoding tagged bS21 homologs.</w:t>
      </w:r>
      <w:r w:rsidRPr="00787166">
        <w:rPr>
          <w:i w:val="0"/>
          <w:iCs w:val="0"/>
          <w:color w:val="000000" w:themeColor="text1"/>
          <w:sz w:val="22"/>
          <w:szCs w:val="22"/>
        </w:rPr>
        <w:t xml:space="preserve"> Each copy of </w:t>
      </w:r>
      <w:r w:rsidRPr="00787166">
        <w:rPr>
          <w:color w:val="000000" w:themeColor="text1"/>
          <w:sz w:val="22"/>
          <w:szCs w:val="22"/>
        </w:rPr>
        <w:t>rpsU</w:t>
      </w:r>
      <w:r w:rsidRPr="00787166">
        <w:rPr>
          <w:i w:val="0"/>
          <w:iCs w:val="0"/>
          <w:color w:val="000000" w:themeColor="text1"/>
          <w:sz w:val="22"/>
          <w:szCs w:val="22"/>
        </w:rPr>
        <w:t xml:space="preserve"> has been modified at its native locus to include DNA specifying a different epitope for immunoprecipitation at the 3</w:t>
      </w:r>
      <w:r w:rsidRPr="00787166">
        <w:rPr>
          <w:rFonts w:ascii="Calibri" w:hAnsi="Calibri" w:cs="Calibri"/>
          <w:i w:val="0"/>
          <w:iCs w:val="0"/>
          <w:color w:val="000000" w:themeColor="text1"/>
          <w:sz w:val="22"/>
          <w:szCs w:val="22"/>
        </w:rPr>
        <w:t>´</w:t>
      </w:r>
      <w:r w:rsidRPr="00787166">
        <w:rPr>
          <w:i w:val="0"/>
          <w:iCs w:val="0"/>
          <w:color w:val="000000" w:themeColor="text1"/>
          <w:sz w:val="22"/>
          <w:szCs w:val="22"/>
        </w:rPr>
        <w:t xml:space="preserve"> </w:t>
      </w:r>
      <w:proofErr w:type="gramStart"/>
      <w:r w:rsidRPr="00787166">
        <w:rPr>
          <w:i w:val="0"/>
          <w:iCs w:val="0"/>
          <w:color w:val="000000" w:themeColor="text1"/>
          <w:sz w:val="22"/>
          <w:szCs w:val="22"/>
        </w:rPr>
        <w:t>end</w:t>
      </w:r>
      <w:proofErr w:type="gramEnd"/>
      <w:r w:rsidRPr="00787166">
        <w:rPr>
          <w:i w:val="0"/>
          <w:iCs w:val="0"/>
          <w:color w:val="000000" w:themeColor="text1"/>
          <w:sz w:val="22"/>
          <w:szCs w:val="22"/>
        </w:rPr>
        <w:t xml:space="preserve"> of the gene</w:t>
      </w:r>
      <w:r w:rsidRPr="00C55C0F">
        <w:rPr>
          <w:i w:val="0"/>
          <w:iCs w:val="0"/>
          <w:color w:val="000000" w:themeColor="text1"/>
          <w:sz w:val="22"/>
          <w:szCs w:val="22"/>
        </w:rPr>
        <w:t xml:space="preserve">. </w:t>
      </w:r>
    </w:p>
    <w:p w14:paraId="74596FD5" w14:textId="29863050" w:rsidR="005A06B8" w:rsidRDefault="00013408" w:rsidP="0095798A">
      <w:pPr>
        <w:spacing w:line="480" w:lineRule="auto"/>
        <w:ind w:firstLine="720"/>
        <w:contextualSpacing/>
        <w:jc w:val="both"/>
      </w:pPr>
      <w:r>
        <w:t xml:space="preserve">Prior to </w:t>
      </w:r>
      <w:r w:rsidR="005A06B8">
        <w:t xml:space="preserve">ribosome profiling, </w:t>
      </w:r>
      <w:r>
        <w:t xml:space="preserve">we will validate and optimize </w:t>
      </w:r>
      <w:r w:rsidR="005A06B8">
        <w:t xml:space="preserve">isolation of </w:t>
      </w:r>
      <w:r>
        <w:t xml:space="preserve">70S </w:t>
      </w:r>
      <w:r w:rsidR="005A06B8">
        <w:t>ribosome</w:t>
      </w:r>
      <w:r>
        <w:t>s</w:t>
      </w:r>
      <w:r w:rsidR="005A06B8">
        <w:t xml:space="preserve"> </w:t>
      </w:r>
      <w:r>
        <w:t xml:space="preserve">using </w:t>
      </w:r>
      <w:r w:rsidR="005A06B8">
        <w:t>epitope tag</w:t>
      </w:r>
      <w:r>
        <w:t>ged</w:t>
      </w:r>
      <w:r w:rsidR="005A06B8">
        <w:t xml:space="preserve"> bS21 homologs. </w:t>
      </w:r>
      <w:proofErr w:type="gramStart"/>
      <w:r w:rsidR="005A06B8">
        <w:t>In order to</w:t>
      </w:r>
      <w:proofErr w:type="gramEnd"/>
      <w:r w:rsidR="005A06B8">
        <w:t xml:space="preserve"> test the efficiency of immunoprecipitation using different tags, I have constructed four plasmids that harbor </w:t>
      </w:r>
      <w:r w:rsidR="005A06B8" w:rsidRPr="003621C5">
        <w:rPr>
          <w:i/>
          <w:iCs/>
        </w:rPr>
        <w:t>rpsU2</w:t>
      </w:r>
      <w:r w:rsidR="005A06B8">
        <w:rPr>
          <w:i/>
          <w:iCs/>
        </w:rPr>
        <w:t xml:space="preserve"> </w:t>
      </w:r>
      <w:r w:rsidR="005A06B8">
        <w:t>with a different small epitope tag attached to the 3’ end of the gene (Table 1).</w:t>
      </w:r>
    </w:p>
    <w:p w14:paraId="536F9378" w14:textId="4CCA201A" w:rsidR="009B571D" w:rsidRDefault="009B571D" w:rsidP="00B46282">
      <w:pPr>
        <w:spacing w:line="480" w:lineRule="auto"/>
        <w:contextualSpacing/>
        <w:jc w:val="both"/>
      </w:pPr>
      <w:r w:rsidRPr="00C55C0F">
        <w:rPr>
          <w:b/>
          <w:bCs/>
          <w:color w:val="000000" w:themeColor="text1"/>
          <w:sz w:val="22"/>
          <w:szCs w:val="22"/>
        </w:rPr>
        <w:t xml:space="preserve">Table </w:t>
      </w:r>
      <w:r w:rsidRPr="00C55C0F">
        <w:rPr>
          <w:b/>
          <w:bCs/>
          <w:i/>
          <w:iCs/>
          <w:color w:val="000000" w:themeColor="text1"/>
          <w:sz w:val="22"/>
          <w:szCs w:val="22"/>
        </w:rPr>
        <w:fldChar w:fldCharType="begin"/>
      </w:r>
      <w:r w:rsidRPr="00C55C0F">
        <w:rPr>
          <w:b/>
          <w:bCs/>
          <w:color w:val="000000" w:themeColor="text1"/>
          <w:sz w:val="22"/>
          <w:szCs w:val="22"/>
        </w:rPr>
        <w:instrText xml:space="preserve"> SEQ Table \* ARABIC </w:instrText>
      </w:r>
      <w:r w:rsidRPr="00C55C0F">
        <w:rPr>
          <w:b/>
          <w:bCs/>
          <w:i/>
          <w:iCs/>
          <w:color w:val="000000" w:themeColor="text1"/>
          <w:sz w:val="22"/>
          <w:szCs w:val="22"/>
        </w:rPr>
        <w:fldChar w:fldCharType="separate"/>
      </w:r>
      <w:r w:rsidRPr="00C55C0F">
        <w:rPr>
          <w:b/>
          <w:bCs/>
          <w:noProof/>
          <w:color w:val="000000" w:themeColor="text1"/>
          <w:sz w:val="22"/>
          <w:szCs w:val="22"/>
        </w:rPr>
        <w:t>1</w:t>
      </w:r>
      <w:r w:rsidRPr="00C55C0F">
        <w:rPr>
          <w:b/>
          <w:bCs/>
          <w:i/>
          <w:iCs/>
          <w:noProof/>
          <w:color w:val="000000" w:themeColor="text1"/>
          <w:sz w:val="22"/>
          <w:szCs w:val="22"/>
        </w:rPr>
        <w:fldChar w:fldCharType="end"/>
      </w:r>
      <w:r w:rsidRPr="00C55C0F">
        <w:rPr>
          <w:b/>
          <w:bCs/>
          <w:color w:val="000000" w:themeColor="text1"/>
          <w:sz w:val="22"/>
          <w:szCs w:val="22"/>
        </w:rPr>
        <w:t xml:space="preserve"> Selected epitope tags to be tested for pulldown efficiency of immunoprecipitation.</w:t>
      </w:r>
    </w:p>
    <w:tbl>
      <w:tblPr>
        <w:tblW w:w="6740" w:type="dxa"/>
        <w:tblCellMar>
          <w:left w:w="0" w:type="dxa"/>
          <w:right w:w="0" w:type="dxa"/>
        </w:tblCellMar>
        <w:tblLook w:val="0420" w:firstRow="1" w:lastRow="0" w:firstColumn="0" w:lastColumn="0" w:noHBand="0" w:noVBand="1"/>
      </w:tblPr>
      <w:tblGrid>
        <w:gridCol w:w="2150"/>
        <w:gridCol w:w="1710"/>
        <w:gridCol w:w="2880"/>
      </w:tblGrid>
      <w:tr w:rsidR="009B571D" w:rsidRPr="004C25F0" w14:paraId="2609B037" w14:textId="77777777" w:rsidTr="00BE22A1">
        <w:trPr>
          <w:trHeight w:val="250"/>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DA7B29"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B38C63"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1DB08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9B571D" w:rsidRPr="004C25F0" w14:paraId="350EE272"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B9F5FC"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1EB3B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E248C7"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-HA</w:t>
            </w:r>
          </w:p>
        </w:tc>
      </w:tr>
      <w:tr w:rsidR="009B571D" w:rsidRPr="004C25F0" w14:paraId="2009DBF0"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11F553" w14:textId="77777777" w:rsidR="009B571D" w:rsidRPr="004C25F0" w:rsidRDefault="009B571D" w:rsidP="00BE22A1">
            <w:pPr>
              <w:spacing w:after="0" w:line="240" w:lineRule="auto"/>
              <w:jc w:val="both"/>
              <w:rPr>
                <w:rFonts w:ascii="Arial" w:eastAsia="Times New Roman" w:hAnsi="Arial" w:cs="Arial"/>
                <w:kern w:val="0"/>
                <w14:ligatures w14:val="none"/>
              </w:rPr>
            </w:pPr>
            <w:r>
              <w:rPr>
                <w:rFonts w:ascii="Calibri" w:eastAsia="Times New Roman" w:hAnsi="Calibri" w:cs="Calibri"/>
                <w:color w:val="000000"/>
                <w:kern w:val="24"/>
                <w14:ligatures w14:val="none"/>
              </w:rPr>
              <w:t xml:space="preserve">6X </w:t>
            </w:r>
            <w:r w:rsidRPr="004C25F0">
              <w:rPr>
                <w:rFonts w:ascii="Calibri" w:eastAsia="Times New Roman" w:hAnsi="Calibri" w:cs="Calibri"/>
                <w:color w:val="000000"/>
                <w:kern w:val="24"/>
                <w14:ligatures w14:val="none"/>
              </w:rPr>
              <w:t>His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FD36B0"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7C6FE"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-His</w:t>
            </w:r>
          </w:p>
        </w:tc>
      </w:tr>
      <w:tr w:rsidR="009B571D" w:rsidRPr="004C25F0" w14:paraId="5A7C5131"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73B9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6BD1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0168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-FLAG</w:t>
            </w:r>
          </w:p>
        </w:tc>
      </w:tr>
      <w:tr w:rsidR="009B571D" w:rsidRPr="004C25F0" w14:paraId="622AEE5A"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3A81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93FAF5"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0F4DD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-V5</w:t>
            </w:r>
          </w:p>
        </w:tc>
      </w:tr>
    </w:tbl>
    <w:p w14:paraId="7BC89BE0" w14:textId="6C77C18E" w:rsidR="009B571D" w:rsidRDefault="009B571D" w:rsidP="00DF3772">
      <w:pPr>
        <w:spacing w:line="480" w:lineRule="auto"/>
        <w:ind w:firstLine="720"/>
        <w:contextualSpacing/>
        <w:jc w:val="both"/>
      </w:pPr>
    </w:p>
    <w:p w14:paraId="26243A63" w14:textId="530CB5F0" w:rsidR="005A06B8" w:rsidRDefault="005A06B8" w:rsidP="005A06B8">
      <w:pPr>
        <w:spacing w:line="480" w:lineRule="auto"/>
        <w:contextualSpacing/>
        <w:jc w:val="both"/>
        <w:rPr>
          <w:u w:val="single"/>
        </w:rPr>
      </w:pPr>
      <w:r w:rsidRPr="004C23CF">
        <w:rPr>
          <w:u w:val="single"/>
        </w:rPr>
        <w:t>Plasmid construction</w:t>
      </w:r>
    </w:p>
    <w:p w14:paraId="54A4C000" w14:textId="6795E427" w:rsidR="005C22ED" w:rsidRDefault="005A06B8" w:rsidP="00082D69">
      <w:pPr>
        <w:spacing w:line="480" w:lineRule="auto"/>
        <w:ind w:firstLine="720"/>
        <w:contextualSpacing/>
        <w:jc w:val="both"/>
      </w:pPr>
      <w:r>
        <w:t xml:space="preserve">Plasmids for </w:t>
      </w:r>
      <w:r w:rsidR="009B571D" w:rsidRPr="00B46282">
        <w:rPr>
          <w:i/>
          <w:iCs/>
        </w:rPr>
        <w:t>F. tularensis</w:t>
      </w:r>
      <w:r w:rsidR="009B571D">
        <w:rPr>
          <w:i/>
          <w:iCs/>
        </w:rPr>
        <w:t xml:space="preserve"> </w:t>
      </w:r>
      <w:r>
        <w:t xml:space="preserve"> that encode bS21-2 in frame with each epitope tag to be tested are derived from pKR7, pF-</w:t>
      </w:r>
      <w:r w:rsidRPr="00B46282">
        <w:rPr>
          <w:i/>
          <w:iCs/>
        </w:rPr>
        <w:t>rpsU2</w:t>
      </w:r>
      <w:r>
        <w:t xml:space="preserve">-V </w:t>
      </w:r>
      <w:r>
        <w:fldChar w:fldCharType="begin"/>
      </w:r>
      <w:r>
        <w:instrText xml:space="preserve"> ADDIN ZOTERO_ITEM CSL_CITATION {"citationID":"jh1C6Voc","properties":{"formattedCitation":"(Trautmann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r w:rsidR="0095798A">
        <w:t xml:space="preserve">In pKR7, the gene </w:t>
      </w:r>
      <w:r w:rsidR="0095798A" w:rsidRPr="007F1C59">
        <w:rPr>
          <w:i/>
          <w:iCs/>
        </w:rPr>
        <w:t>rpsU2</w:t>
      </w:r>
      <w:r w:rsidR="0095798A">
        <w:t xml:space="preserve"> is flanked by the restriction sites EcoRI on the 5’ end and the BamHI on the 3’ end</w:t>
      </w:r>
      <w:commentRangeStart w:id="3"/>
      <w:commentRangeEnd w:id="3"/>
      <w:r w:rsidR="0095798A">
        <w:rPr>
          <w:rStyle w:val="CommentReference"/>
        </w:rPr>
        <w:commentReference w:id="3"/>
      </w:r>
      <w:commentRangeStart w:id="4"/>
      <w:commentRangeEnd w:id="4"/>
      <w:r w:rsidR="0095798A">
        <w:rPr>
          <w:rStyle w:val="CommentReference"/>
        </w:rPr>
        <w:commentReference w:id="4"/>
      </w:r>
      <w:commentRangeStart w:id="5"/>
      <w:commentRangeStart w:id="6"/>
      <w:commentRangeEnd w:id="5"/>
      <w:r w:rsidR="0095798A">
        <w:rPr>
          <w:rStyle w:val="CommentReference"/>
        </w:rPr>
        <w:commentReference w:id="5"/>
      </w:r>
      <w:commentRangeEnd w:id="6"/>
      <w:r w:rsidR="00082D69">
        <w:rPr>
          <w:rStyle w:val="CommentReference"/>
        </w:rPr>
        <w:commentReference w:id="6"/>
      </w:r>
      <w:r w:rsidR="0095798A">
        <w:t xml:space="preserve"> with </w:t>
      </w:r>
      <w:r w:rsidR="00082D69">
        <w:t xml:space="preserve">DNA specifying the </w:t>
      </w:r>
      <w:r w:rsidR="0095798A">
        <w:t xml:space="preserve">VSV-G epitope tag </w:t>
      </w:r>
      <w:r w:rsidR="00082D69">
        <w:t>in frame with</w:t>
      </w:r>
      <w:r w:rsidR="0095798A">
        <w:t xml:space="preserve"> the 3’ end of </w:t>
      </w:r>
      <w:r w:rsidR="0095798A" w:rsidRPr="007F1C59">
        <w:rPr>
          <w:i/>
          <w:iCs/>
        </w:rPr>
        <w:t>rpsU2</w:t>
      </w:r>
      <w:r w:rsidR="00082D69">
        <w:t>. To generate the plasmids indicated in Table 1</w:t>
      </w:r>
      <w:r w:rsidR="0095798A">
        <w:t xml:space="preserve">, </w:t>
      </w:r>
      <w:r w:rsidR="00082D69">
        <w:t xml:space="preserve">PCR products encoding </w:t>
      </w:r>
      <w:r w:rsidR="00082D69" w:rsidRPr="005E124A">
        <w:rPr>
          <w:i/>
          <w:iCs/>
        </w:rPr>
        <w:t>rpsU2</w:t>
      </w:r>
      <w:r w:rsidR="00082D69">
        <w:t xml:space="preserve"> and DNA specifying the appropriate epitope were digested with EcoRI and BamHI and ligated into EcoRI/BamHI-digested pKR7</w:t>
      </w:r>
      <w:r>
        <w:t>. After ligation</w:t>
      </w:r>
      <w:r w:rsidR="009B571D">
        <w:t xml:space="preserve"> and confirmation by sequencing, the plasmids were introduced</w:t>
      </w:r>
      <w:r w:rsidR="002A1B33">
        <w:t xml:space="preserve"> </w:t>
      </w:r>
      <w:r>
        <w:t xml:space="preserve">into wild-type </w:t>
      </w:r>
      <w:r>
        <w:rPr>
          <w:i/>
          <w:iCs/>
        </w:rPr>
        <w:t>F. tularensis</w:t>
      </w:r>
      <w:r w:rsidR="009B571D">
        <w:t>.</w:t>
      </w:r>
    </w:p>
    <w:p w14:paraId="371C856A" w14:textId="1E265A71" w:rsidR="005A06B8" w:rsidRPr="003621C5" w:rsidRDefault="005A06B8" w:rsidP="005C22ED">
      <w:pPr>
        <w:spacing w:line="480" w:lineRule="auto"/>
        <w:ind w:firstLine="720"/>
        <w:contextualSpacing/>
        <w:jc w:val="both"/>
        <w:rPr>
          <w:u w:val="single"/>
        </w:rPr>
      </w:pPr>
      <w:r>
        <w:t xml:space="preserve">For each epitope tag, I </w:t>
      </w:r>
      <w:r w:rsidR="009B571D">
        <w:t xml:space="preserve">validated the antibody reactivity and specificity by </w:t>
      </w:r>
      <w:r>
        <w:t xml:space="preserve">Western </w:t>
      </w:r>
      <w:r w:rsidR="009B571D">
        <w:t>b</w:t>
      </w:r>
      <w:r>
        <w:t>lots</w:t>
      </w:r>
      <w:r w:rsidR="002A1B33">
        <w:t>.</w:t>
      </w:r>
      <w:r>
        <w:t xml:space="preserve"> I have begun testing the efficiency of pulldown of </w:t>
      </w:r>
      <w:r w:rsidR="009B571D">
        <w:t xml:space="preserve">ribosomes with tagged bS21 </w:t>
      </w:r>
      <w:r>
        <w:t>via immunoprecipitation (Fi</w:t>
      </w:r>
      <w:r w:rsidR="00FE7ED8">
        <w:t>gure 4</w:t>
      </w:r>
      <w:r>
        <w:t>). Once each epitope</w:t>
      </w:r>
      <w:r w:rsidR="007017EB">
        <w:t xml:space="preserve"> tag</w:t>
      </w:r>
      <w:r>
        <w:t xml:space="preserve"> has been evaluated, I will choose which </w:t>
      </w:r>
      <w:r w:rsidR="007017EB">
        <w:lastRenderedPageBreak/>
        <w:t>one</w:t>
      </w:r>
      <w:r>
        <w:t xml:space="preserve"> should be added to each </w:t>
      </w:r>
      <w:r w:rsidR="007017EB">
        <w:t xml:space="preserve">bS21 </w:t>
      </w:r>
      <w:r>
        <w:t>homolog and</w:t>
      </w:r>
      <w:r w:rsidR="007017EB">
        <w:t xml:space="preserve"> add DNA specifying the appropriate tag to the 3</w:t>
      </w:r>
      <w:r w:rsidR="007017EB">
        <w:rPr>
          <w:rFonts w:ascii="Calibri" w:hAnsi="Calibri" w:cs="Calibri"/>
        </w:rPr>
        <w:t>´</w:t>
      </w:r>
      <w:r w:rsidR="007017EB">
        <w:t xml:space="preserve"> </w:t>
      </w:r>
      <w:proofErr w:type="gramStart"/>
      <w:r w:rsidR="007017EB">
        <w:t>end</w:t>
      </w:r>
      <w:proofErr w:type="gramEnd"/>
      <w:r w:rsidR="007017EB">
        <w:t xml:space="preserve"> of each bS21-encoding genes on</w:t>
      </w:r>
      <w:r>
        <w:t xml:space="preserve"> the chromosome</w:t>
      </w:r>
      <w:r w:rsidR="007017EB">
        <w:t xml:space="preserve"> using allelic exchange</w:t>
      </w:r>
      <w:r>
        <w:t xml:space="preserve"> </w:t>
      </w:r>
      <w:r w:rsidR="00787166" w:rsidDel="00787166">
        <w:t xml:space="preserve"> </w:t>
      </w:r>
    </w:p>
    <w:p w14:paraId="5568990E" w14:textId="70DB23EF" w:rsidR="00FE7ED8" w:rsidRDefault="00FE7ED8" w:rsidP="00FE7ED8"/>
    <w:p w14:paraId="1F01AE47" w14:textId="5431C996" w:rsidR="00191B9E" w:rsidRDefault="00191B9E" w:rsidP="00FE7ED8">
      <w:r>
        <w:rPr>
          <w:noProof/>
        </w:rPr>
        <w:drawing>
          <wp:inline distT="0" distB="0" distL="0" distR="0" wp14:anchorId="150F5AFC" wp14:editId="22E246B9">
            <wp:extent cx="5943600" cy="2278380"/>
            <wp:effectExtent l="0" t="0" r="0" b="0"/>
            <wp:docPr id="1707048785" name="Picture 1"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48785" name="Picture 1" descr="A close-up of a dna tes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2278380"/>
                    </a:xfrm>
                    <a:prstGeom prst="rect">
                      <a:avLst/>
                    </a:prstGeom>
                  </pic:spPr>
                </pic:pic>
              </a:graphicData>
            </a:graphic>
          </wp:inline>
        </w:drawing>
      </w:r>
    </w:p>
    <w:p w14:paraId="6CD08E31" w14:textId="611F6C4F" w:rsidR="005A06B8" w:rsidRPr="004A7A9C" w:rsidRDefault="005A06B8" w:rsidP="005A06B8">
      <w:pPr>
        <w:pStyle w:val="Caption"/>
        <w:rPr>
          <w:noProof/>
        </w:rPr>
      </w:pPr>
      <w:r w:rsidRPr="00BE22A1">
        <w:rPr>
          <w:b/>
          <w:bCs/>
          <w:i w:val="0"/>
          <w:iCs w:val="0"/>
          <w:color w:val="000000" w:themeColor="text1"/>
          <w:sz w:val="22"/>
          <w:szCs w:val="22"/>
        </w:rPr>
        <w:t xml:space="preserve">Figure </w:t>
      </w:r>
      <w:r w:rsidRPr="00BE22A1">
        <w:rPr>
          <w:b/>
          <w:bCs/>
          <w:i w:val="0"/>
          <w:iCs w:val="0"/>
          <w:color w:val="000000" w:themeColor="text1"/>
          <w:sz w:val="22"/>
          <w:szCs w:val="22"/>
        </w:rPr>
        <w:fldChar w:fldCharType="begin"/>
      </w:r>
      <w:r w:rsidRPr="00BE22A1">
        <w:rPr>
          <w:b/>
          <w:bCs/>
          <w:i w:val="0"/>
          <w:iCs w:val="0"/>
          <w:color w:val="000000" w:themeColor="text1"/>
          <w:sz w:val="22"/>
          <w:szCs w:val="22"/>
        </w:rPr>
        <w:instrText xml:space="preserve"> SEQ Figure \* ARABIC </w:instrText>
      </w:r>
      <w:r w:rsidRPr="00BE22A1">
        <w:rPr>
          <w:b/>
          <w:bCs/>
          <w:i w:val="0"/>
          <w:iCs w:val="0"/>
          <w:color w:val="000000" w:themeColor="text1"/>
          <w:sz w:val="22"/>
          <w:szCs w:val="22"/>
        </w:rPr>
        <w:fldChar w:fldCharType="separate"/>
      </w:r>
      <w:r w:rsidRPr="00BE22A1">
        <w:rPr>
          <w:b/>
          <w:bCs/>
          <w:i w:val="0"/>
          <w:iCs w:val="0"/>
          <w:noProof/>
          <w:color w:val="000000" w:themeColor="text1"/>
          <w:sz w:val="22"/>
          <w:szCs w:val="22"/>
        </w:rPr>
        <w:t>4</w:t>
      </w:r>
      <w:r w:rsidRPr="00BE22A1">
        <w:rPr>
          <w:b/>
          <w:bCs/>
          <w:i w:val="0"/>
          <w:iCs w:val="0"/>
          <w:noProof/>
          <w:color w:val="000000" w:themeColor="text1"/>
          <w:sz w:val="22"/>
          <w:szCs w:val="22"/>
        </w:rPr>
        <w:fldChar w:fldCharType="end"/>
      </w:r>
      <w:r w:rsidRPr="00BE22A1">
        <w:rPr>
          <w:b/>
          <w:bCs/>
          <w:i w:val="0"/>
          <w:iCs w:val="0"/>
          <w:noProof/>
          <w:color w:val="000000" w:themeColor="text1"/>
          <w:sz w:val="22"/>
          <w:szCs w:val="22"/>
        </w:rPr>
        <w:t>.</w:t>
      </w:r>
      <w:r w:rsidRPr="00BE22A1">
        <w:rPr>
          <w:b/>
          <w:bCs/>
          <w:i w:val="0"/>
          <w:iCs w:val="0"/>
          <w:color w:val="000000" w:themeColor="text1"/>
          <w:sz w:val="22"/>
          <w:szCs w:val="22"/>
        </w:rPr>
        <w:t xml:space="preserve"> Immunoprecipitation of bS21-2</w:t>
      </w:r>
      <w:r w:rsidR="008A5231">
        <w:rPr>
          <w:b/>
          <w:bCs/>
          <w:i w:val="0"/>
          <w:iCs w:val="0"/>
          <w:color w:val="000000" w:themeColor="text1"/>
          <w:sz w:val="22"/>
          <w:szCs w:val="22"/>
        </w:rPr>
        <w:t>-HA</w:t>
      </w:r>
      <w:r w:rsidRPr="00BE22A1">
        <w:rPr>
          <w:b/>
          <w:bCs/>
          <w:i w:val="0"/>
          <w:iCs w:val="0"/>
          <w:color w:val="000000" w:themeColor="text1"/>
          <w:sz w:val="22"/>
          <w:szCs w:val="22"/>
        </w:rPr>
        <w:t>.</w:t>
      </w:r>
      <w:r w:rsidRPr="00BE22A1">
        <w:rPr>
          <w:i w:val="0"/>
          <w:iCs w:val="0"/>
          <w:color w:val="000000" w:themeColor="text1"/>
          <w:sz w:val="22"/>
          <w:szCs w:val="22"/>
        </w:rPr>
        <w:t xml:space="preserve"> </w:t>
      </w:r>
      <w:r>
        <w:rPr>
          <w:i w:val="0"/>
          <w:iCs w:val="0"/>
          <w:color w:val="000000" w:themeColor="text1"/>
          <w:sz w:val="22"/>
          <w:szCs w:val="22"/>
        </w:rPr>
        <w:t>Left</w:t>
      </w:r>
      <w:r w:rsidRPr="00BE22A1">
        <w:rPr>
          <w:i w:val="0"/>
          <w:iCs w:val="0"/>
          <w:color w:val="000000" w:themeColor="text1"/>
          <w:sz w:val="22"/>
          <w:szCs w:val="22"/>
        </w:rPr>
        <w:t xml:space="preserve">: Silver </w:t>
      </w:r>
      <w:r w:rsidR="008A5231">
        <w:rPr>
          <w:i w:val="0"/>
          <w:iCs w:val="0"/>
          <w:color w:val="000000" w:themeColor="text1"/>
          <w:sz w:val="22"/>
          <w:szCs w:val="22"/>
        </w:rPr>
        <w:t>s</w:t>
      </w:r>
      <w:r w:rsidRPr="00BE22A1">
        <w:rPr>
          <w:i w:val="0"/>
          <w:iCs w:val="0"/>
          <w:color w:val="000000" w:themeColor="text1"/>
          <w:sz w:val="22"/>
          <w:szCs w:val="22"/>
        </w:rPr>
        <w:t xml:space="preserve">tain shows </w:t>
      </w:r>
      <w:r>
        <w:rPr>
          <w:i w:val="0"/>
          <w:iCs w:val="0"/>
          <w:color w:val="000000" w:themeColor="text1"/>
          <w:sz w:val="22"/>
          <w:szCs w:val="22"/>
        </w:rPr>
        <w:t>many</w:t>
      </w:r>
      <w:r w:rsidRPr="00BE22A1">
        <w:rPr>
          <w:i w:val="0"/>
          <w:iCs w:val="0"/>
          <w:color w:val="000000" w:themeColor="text1"/>
          <w:sz w:val="22"/>
          <w:szCs w:val="22"/>
        </w:rPr>
        <w:t xml:space="preserve"> bands in the </w:t>
      </w:r>
      <w:r>
        <w:rPr>
          <w:i w:val="0"/>
          <w:iCs w:val="0"/>
          <w:color w:val="000000" w:themeColor="text1"/>
          <w:sz w:val="22"/>
          <w:szCs w:val="22"/>
        </w:rPr>
        <w:t>e</w:t>
      </w:r>
      <w:r w:rsidRPr="00BE22A1">
        <w:rPr>
          <w:i w:val="0"/>
          <w:iCs w:val="0"/>
          <w:color w:val="000000" w:themeColor="text1"/>
          <w:sz w:val="22"/>
          <w:szCs w:val="22"/>
        </w:rPr>
        <w:t>luate lane</w:t>
      </w:r>
      <w:r>
        <w:rPr>
          <w:i w:val="0"/>
          <w:iCs w:val="0"/>
          <w:color w:val="000000" w:themeColor="text1"/>
          <w:sz w:val="22"/>
          <w:szCs w:val="22"/>
        </w:rPr>
        <w:t xml:space="preserve"> from samples with bS21-2-HA</w:t>
      </w:r>
      <w:r w:rsidRPr="00BE22A1">
        <w:rPr>
          <w:i w:val="0"/>
          <w:iCs w:val="0"/>
          <w:color w:val="000000" w:themeColor="text1"/>
          <w:sz w:val="22"/>
          <w:szCs w:val="22"/>
        </w:rPr>
        <w:t xml:space="preserve"> (EL1</w:t>
      </w:r>
      <w:r>
        <w:rPr>
          <w:i w:val="0"/>
          <w:iCs w:val="0"/>
          <w:color w:val="000000" w:themeColor="text1"/>
          <w:sz w:val="22"/>
          <w:szCs w:val="22"/>
        </w:rPr>
        <w:t>, “+”</w:t>
      </w:r>
      <w:r w:rsidRPr="00BE22A1">
        <w:rPr>
          <w:i w:val="0"/>
          <w:iCs w:val="0"/>
          <w:color w:val="000000" w:themeColor="text1"/>
          <w:sz w:val="22"/>
          <w:szCs w:val="22"/>
        </w:rPr>
        <w:t xml:space="preserve">) suggesting </w:t>
      </w:r>
      <w:r>
        <w:rPr>
          <w:i w:val="0"/>
          <w:iCs w:val="0"/>
          <w:color w:val="000000" w:themeColor="text1"/>
          <w:sz w:val="22"/>
          <w:szCs w:val="22"/>
        </w:rPr>
        <w:t>bS21-2</w:t>
      </w:r>
      <w:r w:rsidR="00CF39ED">
        <w:rPr>
          <w:i w:val="0"/>
          <w:iCs w:val="0"/>
          <w:color w:val="000000" w:themeColor="text1"/>
          <w:sz w:val="22"/>
          <w:szCs w:val="22"/>
        </w:rPr>
        <w:t>-HA</w:t>
      </w:r>
      <w:r>
        <w:rPr>
          <w:i w:val="0"/>
          <w:iCs w:val="0"/>
          <w:color w:val="000000" w:themeColor="text1"/>
          <w:sz w:val="22"/>
          <w:szCs w:val="22"/>
        </w:rPr>
        <w:t xml:space="preserve"> associated with a 70S</w:t>
      </w:r>
      <w:r w:rsidRPr="00BE22A1">
        <w:rPr>
          <w:i w:val="0"/>
          <w:iCs w:val="0"/>
          <w:color w:val="000000" w:themeColor="text1"/>
          <w:sz w:val="22"/>
          <w:szCs w:val="22"/>
        </w:rPr>
        <w:t xml:space="preserve"> ribosome is </w:t>
      </w:r>
      <w:r>
        <w:rPr>
          <w:i w:val="0"/>
          <w:iCs w:val="0"/>
          <w:color w:val="000000" w:themeColor="text1"/>
          <w:sz w:val="22"/>
          <w:szCs w:val="22"/>
        </w:rPr>
        <w:t>immunoprecipitated</w:t>
      </w:r>
      <w:r w:rsidRPr="00BE22A1">
        <w:rPr>
          <w:i w:val="0"/>
          <w:iCs w:val="0"/>
          <w:color w:val="000000" w:themeColor="text1"/>
          <w:sz w:val="22"/>
          <w:szCs w:val="22"/>
        </w:rPr>
        <w:t xml:space="preserve">. </w:t>
      </w:r>
      <w:r>
        <w:rPr>
          <w:i w:val="0"/>
          <w:iCs w:val="0"/>
          <w:color w:val="000000" w:themeColor="text1"/>
          <w:sz w:val="22"/>
          <w:szCs w:val="22"/>
        </w:rPr>
        <w:t>Right</w:t>
      </w:r>
      <w:r w:rsidRPr="00BE22A1">
        <w:rPr>
          <w:i w:val="0"/>
          <w:iCs w:val="0"/>
          <w:color w:val="000000" w:themeColor="text1"/>
          <w:sz w:val="22"/>
          <w:szCs w:val="22"/>
        </w:rPr>
        <w:t xml:space="preserve">: Western Blot </w:t>
      </w:r>
      <w:r>
        <w:rPr>
          <w:i w:val="0"/>
          <w:iCs w:val="0"/>
          <w:color w:val="000000" w:themeColor="text1"/>
          <w:sz w:val="22"/>
          <w:szCs w:val="22"/>
        </w:rPr>
        <w:t xml:space="preserve">using antibody against the HA </w:t>
      </w:r>
      <w:r w:rsidR="00CF39ED">
        <w:rPr>
          <w:i w:val="0"/>
          <w:iCs w:val="0"/>
          <w:color w:val="000000" w:themeColor="text1"/>
          <w:sz w:val="22"/>
          <w:szCs w:val="22"/>
        </w:rPr>
        <w:t xml:space="preserve">epitope </w:t>
      </w:r>
      <w:r w:rsidRPr="00BE22A1">
        <w:rPr>
          <w:i w:val="0"/>
          <w:iCs w:val="0"/>
          <w:color w:val="000000" w:themeColor="text1"/>
          <w:sz w:val="22"/>
          <w:szCs w:val="22"/>
        </w:rPr>
        <w:t>shows bS21-2</w:t>
      </w:r>
      <w:r w:rsidR="00CF39ED">
        <w:rPr>
          <w:i w:val="0"/>
          <w:iCs w:val="0"/>
          <w:color w:val="000000" w:themeColor="text1"/>
          <w:sz w:val="22"/>
          <w:szCs w:val="22"/>
        </w:rPr>
        <w:t>-HA</w:t>
      </w:r>
      <w:r w:rsidRPr="00BE22A1">
        <w:rPr>
          <w:i w:val="0"/>
          <w:iCs w:val="0"/>
          <w:color w:val="000000" w:themeColor="text1"/>
          <w:sz w:val="22"/>
          <w:szCs w:val="22"/>
        </w:rPr>
        <w:t xml:space="preserve"> is </w:t>
      </w:r>
      <w:r>
        <w:rPr>
          <w:i w:val="0"/>
          <w:iCs w:val="0"/>
          <w:color w:val="000000" w:themeColor="text1"/>
          <w:sz w:val="22"/>
          <w:szCs w:val="22"/>
        </w:rPr>
        <w:t>detected in the eluted sample</w:t>
      </w:r>
      <w:r w:rsidRPr="00BE22A1">
        <w:rPr>
          <w:i w:val="0"/>
          <w:iCs w:val="0"/>
          <w:color w:val="000000" w:themeColor="text1"/>
          <w:sz w:val="22"/>
          <w:szCs w:val="22"/>
        </w:rPr>
        <w:t>.</w:t>
      </w:r>
      <w:r>
        <w:rPr>
          <w:i w:val="0"/>
          <w:iCs w:val="0"/>
          <w:color w:val="000000" w:themeColor="text1"/>
          <w:sz w:val="22"/>
          <w:szCs w:val="22"/>
        </w:rPr>
        <w:t xml:space="preserve"> </w:t>
      </w:r>
      <w:r w:rsidR="002A1B33">
        <w:rPr>
          <w:i w:val="0"/>
          <w:iCs w:val="0"/>
          <w:color w:val="000000" w:themeColor="text1"/>
          <w:sz w:val="22"/>
          <w:szCs w:val="22"/>
        </w:rPr>
        <w:t>“</w:t>
      </w:r>
      <w:r w:rsidR="009B571D">
        <w:rPr>
          <w:i w:val="0"/>
          <w:iCs w:val="0"/>
          <w:color w:val="000000" w:themeColor="text1"/>
          <w:sz w:val="22"/>
          <w:szCs w:val="22"/>
        </w:rPr>
        <w:t>+</w:t>
      </w:r>
      <w:r w:rsidR="002A1B33">
        <w:rPr>
          <w:i w:val="0"/>
          <w:iCs w:val="0"/>
          <w:color w:val="000000" w:themeColor="text1"/>
          <w:sz w:val="22"/>
          <w:szCs w:val="22"/>
        </w:rPr>
        <w:t>” refers to sample derived from cells harboring the pF</w:t>
      </w:r>
      <w:r w:rsidR="00E44506">
        <w:rPr>
          <w:i w:val="0"/>
          <w:iCs w:val="0"/>
          <w:color w:val="000000" w:themeColor="text1"/>
          <w:sz w:val="22"/>
          <w:szCs w:val="22"/>
        </w:rPr>
        <w:t>-rpsU2-HA plasmid and “</w:t>
      </w:r>
      <w:r w:rsidR="009B571D">
        <w:rPr>
          <w:i w:val="0"/>
          <w:iCs w:val="0"/>
          <w:color w:val="000000" w:themeColor="text1"/>
          <w:sz w:val="22"/>
          <w:szCs w:val="22"/>
        </w:rPr>
        <w:t>-</w:t>
      </w:r>
      <w:r w:rsidR="00E44506">
        <w:rPr>
          <w:i w:val="0"/>
          <w:iCs w:val="0"/>
          <w:color w:val="000000" w:themeColor="text1"/>
          <w:sz w:val="22"/>
          <w:szCs w:val="22"/>
        </w:rPr>
        <w:t>”</w:t>
      </w:r>
      <w:r w:rsidR="009B571D">
        <w:rPr>
          <w:i w:val="0"/>
          <w:iCs w:val="0"/>
          <w:color w:val="000000" w:themeColor="text1"/>
          <w:sz w:val="22"/>
          <w:szCs w:val="22"/>
        </w:rPr>
        <w:t xml:space="preserve"> </w:t>
      </w:r>
      <w:r w:rsidR="00E44506">
        <w:rPr>
          <w:i w:val="0"/>
          <w:iCs w:val="0"/>
          <w:color w:val="000000" w:themeColor="text1"/>
          <w:sz w:val="22"/>
          <w:szCs w:val="22"/>
        </w:rPr>
        <w:t>refers to samples derived from cells harboring the empty vector, pF</w:t>
      </w:r>
      <w:r>
        <w:rPr>
          <w:i w:val="0"/>
          <w:iCs w:val="0"/>
          <w:color w:val="000000" w:themeColor="text1"/>
          <w:sz w:val="22"/>
          <w:szCs w:val="22"/>
        </w:rPr>
        <w:t>.</w:t>
      </w:r>
      <w:r w:rsidR="00E44506" w:rsidRPr="00E44506">
        <w:rPr>
          <w:i w:val="0"/>
          <w:iCs w:val="0"/>
          <w:color w:val="000000" w:themeColor="text1"/>
          <w:sz w:val="22"/>
          <w:szCs w:val="22"/>
        </w:rPr>
        <w:t xml:space="preserve"> </w:t>
      </w:r>
      <w:r w:rsidR="00E44506">
        <w:rPr>
          <w:i w:val="0"/>
          <w:iCs w:val="0"/>
          <w:color w:val="000000" w:themeColor="text1"/>
          <w:sz w:val="22"/>
          <w:szCs w:val="22"/>
        </w:rPr>
        <w:t xml:space="preserve"> LYS = lysate; FT = flowthrough; EL = eluate</w:t>
      </w:r>
      <w:r w:rsidR="006D6682">
        <w:rPr>
          <w:i w:val="0"/>
          <w:iCs w:val="0"/>
          <w:color w:val="000000" w:themeColor="text1"/>
          <w:sz w:val="22"/>
          <w:szCs w:val="22"/>
        </w:rPr>
        <w:t>;</w:t>
      </w:r>
      <w:r w:rsidR="0014426D">
        <w:rPr>
          <w:i w:val="0"/>
          <w:iCs w:val="0"/>
          <w:color w:val="000000" w:themeColor="text1"/>
          <w:sz w:val="22"/>
          <w:szCs w:val="22"/>
        </w:rPr>
        <w:t xml:space="preserve"> WCL = whole cell lysate</w:t>
      </w:r>
      <w:r w:rsidR="00E44506">
        <w:rPr>
          <w:i w:val="0"/>
          <w:iCs w:val="0"/>
          <w:color w:val="000000" w:themeColor="text1"/>
          <w:sz w:val="22"/>
          <w:szCs w:val="22"/>
        </w:rPr>
        <w:t>.</w:t>
      </w:r>
    </w:p>
    <w:p w14:paraId="3ACBDCCF" w14:textId="77777777" w:rsidR="00FE7ED8" w:rsidRDefault="00FE7ED8" w:rsidP="005A06B8">
      <w:pPr>
        <w:spacing w:line="480" w:lineRule="auto"/>
        <w:contextualSpacing/>
        <w:jc w:val="both"/>
        <w:rPr>
          <w:u w:val="single"/>
        </w:rPr>
      </w:pPr>
    </w:p>
    <w:p w14:paraId="17EBD282" w14:textId="18B26921" w:rsidR="005A06B8" w:rsidRPr="00FE7ED8" w:rsidRDefault="00FE7ED8" w:rsidP="005A06B8">
      <w:pPr>
        <w:spacing w:line="480" w:lineRule="auto"/>
        <w:contextualSpacing/>
        <w:jc w:val="both"/>
        <w:rPr>
          <w:u w:val="single"/>
        </w:rPr>
      </w:pPr>
      <w:r w:rsidRPr="00FE7ED8">
        <w:rPr>
          <w:u w:val="single"/>
        </w:rPr>
        <w:t>Ribosome profiling</w:t>
      </w:r>
    </w:p>
    <w:p w14:paraId="65A2759B" w14:textId="7A049BF5" w:rsidR="00CB3A25" w:rsidRDefault="00E44506" w:rsidP="006D5856">
      <w:pPr>
        <w:spacing w:line="480" w:lineRule="auto"/>
        <w:ind w:firstLine="720"/>
        <w:contextualSpacing/>
        <w:jc w:val="both"/>
      </w:pPr>
      <w:r>
        <w:t>As described previously, t</w:t>
      </w:r>
      <w:r w:rsidR="00CB3A25">
        <w:t xml:space="preserve">o ensure that we are capturing each class of ribosome at biologically relevant abundances, we will perform ribosome profiling on strains that </w:t>
      </w:r>
      <w:r>
        <w:t>encode tagged versions of all three</w:t>
      </w:r>
      <w:r w:rsidR="00CB3A25">
        <w:t xml:space="preserve"> bS21 homolog</w:t>
      </w:r>
      <w:r>
        <w:t>s</w:t>
      </w:r>
      <w:r w:rsidR="00CB3A25">
        <w:t xml:space="preserve">. </w:t>
      </w:r>
      <w:r>
        <w:t>However, we will prepare independent biological samples for each immunoprecipitation rather than performing parallel immunoprecipitation on the same lysates. For each class of ribosome to be immunoprecipitated</w:t>
      </w:r>
      <w:r w:rsidR="00CB3A25">
        <w:t>, we will grow and harvest three cultures</w:t>
      </w:r>
      <w:r>
        <w:t xml:space="preserve"> </w:t>
      </w:r>
      <w:proofErr w:type="gramStart"/>
      <w:r>
        <w:t>in order to</w:t>
      </w:r>
      <w:proofErr w:type="gramEnd"/>
      <w:r>
        <w:t xml:space="preserve"> perform each ribosome profiling experiment in</w:t>
      </w:r>
      <w:r w:rsidR="00CB3A25">
        <w:t xml:space="preserve"> triplicate. </w:t>
      </w:r>
    </w:p>
    <w:p w14:paraId="6ADAF8C9" w14:textId="7C5EA1E1" w:rsidR="006D5856" w:rsidRDefault="00E44506" w:rsidP="006D5856">
      <w:pPr>
        <w:spacing w:line="480" w:lineRule="auto"/>
        <w:ind w:firstLine="720"/>
        <w:contextualSpacing/>
        <w:jc w:val="both"/>
      </w:pPr>
      <w:r>
        <w:t>The following methods for ribosome profiling are based on protocols by Mohammad and Buskirk (2019) and Johnson and Li (2018). We</w:t>
      </w:r>
      <w:r w:rsidR="005A06B8">
        <w:t xml:space="preserve"> will halt actively translating ribosomes </w:t>
      </w:r>
      <w:r w:rsidR="00787166">
        <w:t>by flash-</w:t>
      </w:r>
      <w:r w:rsidR="00787166">
        <w:lastRenderedPageBreak/>
        <w:t>freezing whole cultures and then grinding them in</w:t>
      </w:r>
      <w:r w:rsidR="005A06B8">
        <w:t xml:space="preserve"> a </w:t>
      </w:r>
      <w:r>
        <w:t xml:space="preserve">buffer with a </w:t>
      </w:r>
      <w:r w:rsidR="005A06B8">
        <w:t xml:space="preserve">high concentration of </w:t>
      </w:r>
      <w:r w:rsidR="005A06B8" w:rsidRPr="00A91BE7">
        <w:t>MgCl</w:t>
      </w:r>
      <w:r w:rsidR="005A06B8" w:rsidRPr="00A91BE7">
        <w:rPr>
          <w:vertAlign w:val="subscript"/>
        </w:rPr>
        <w:t>2</w:t>
      </w:r>
      <w:r w:rsidR="005A06B8">
        <w:rPr>
          <w:vertAlign w:val="subscript"/>
        </w:rPr>
        <w:t xml:space="preserve"> </w:t>
      </w:r>
      <w:r w:rsidR="005A06B8">
        <w:t xml:space="preserve">to mitigate artifacts such as strong pauses or build-up of ribosomes at the 5’ end of ORFs </w:t>
      </w:r>
      <w:r w:rsidR="005A06B8">
        <w:fldChar w:fldCharType="begin"/>
      </w:r>
      <w:r w:rsidR="005A06B8">
        <w:instrText xml:space="preserve"> ADDIN ZOTERO_ITEM CSL_CITATION {"citationID":"b3Tp48X9","properties":{"formattedCitation":"(Mohammad &amp; Buskirk, 2019)","plainCitation":"(Mohammad &amp; Buskirk, 2019)","noteIndex":0},"citationItems":[{"id":740,"uris":["http://zotero.org/users/9677915/items/HLGEXAV8"],"itemData":{"id":740,"type":"article-journal","abstract":"Ribosome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(Mohammad &amp; Buskirk, 2019)</w:t>
      </w:r>
      <w:r w:rsidR="005A06B8">
        <w:fldChar w:fldCharType="end"/>
      </w:r>
      <w:r w:rsidR="005A06B8">
        <w:t>.</w:t>
      </w:r>
      <w:r w:rsidR="00787166">
        <w:t xml:space="preserve"> We will pellet the lysates over sucrose cushions and then</w:t>
      </w:r>
      <w:r w:rsidR="005A06B8">
        <w:t xml:space="preserve"> </w:t>
      </w:r>
      <w:r w:rsidR="005A06B8" w:rsidRPr="00A91BE7">
        <w:t>degrade</w:t>
      </w:r>
      <w:r w:rsidR="005A06B8">
        <w:t xml:space="preserve"> mRNAs unprotected by the ribosome with </w:t>
      </w:r>
      <w:r w:rsidR="00A0642C">
        <w:t>m</w:t>
      </w:r>
      <w:r w:rsidR="005A06B8">
        <w:t>icrococcal nuclease (MNase). As a control at this step</w:t>
      </w:r>
      <w:r w:rsidR="00A0642C">
        <w:t>,</w:t>
      </w:r>
      <w:r w:rsidR="005A06B8">
        <w:t xml:space="preserve"> we will </w:t>
      </w:r>
      <w:r>
        <w:t xml:space="preserve">assess the purity and integrity of 70S ribosomes by analyzing a small portion of the samples by sucrose gradient fractionation, as well as a fraction of the digested </w:t>
      </w:r>
      <w:r w:rsidR="005A06B8">
        <w:t>polysomes to ensure that</w:t>
      </w:r>
      <w:r>
        <w:t xml:space="preserve"> our starting material included </w:t>
      </w:r>
      <w:r w:rsidR="00DB0090">
        <w:t xml:space="preserve">polysomes and that we isolated </w:t>
      </w:r>
      <w:r w:rsidR="005A06B8">
        <w:t xml:space="preserve">intact 70S particles. </w:t>
      </w:r>
      <w:r w:rsidR="00DB0090">
        <w:t>From these purified monosome samples, w</w:t>
      </w:r>
      <w:r w:rsidR="00787166">
        <w:t>e will isolate each class of ribosomes</w:t>
      </w:r>
      <w:r w:rsidR="00DB0090">
        <w:t xml:space="preserve"> (containing either tagged bS21-1, bS21-2, or bS21-3)</w:t>
      </w:r>
      <w:r w:rsidR="00787166">
        <w:t xml:space="preserve"> by immunoprecipitation</w:t>
      </w:r>
      <w:r w:rsidR="006E6440">
        <w:t xml:space="preserve"> and, from a separate sample, isolate all ribosomes using sucrose gradient fractionation</w:t>
      </w:r>
      <w:r w:rsidR="00787166">
        <w:t xml:space="preserve">. </w:t>
      </w:r>
      <w:r w:rsidR="005A06B8">
        <w:t xml:space="preserve">We will extract the mRNA </w:t>
      </w:r>
      <w:r w:rsidR="006E6440">
        <w:t xml:space="preserve">protected by the ribosome (mRNA </w:t>
      </w:r>
      <w:r w:rsidR="005A06B8">
        <w:t>footprints</w:t>
      </w:r>
      <w:r w:rsidR="006E6440">
        <w:t>)</w:t>
      </w:r>
      <w:r w:rsidR="005A06B8">
        <w:t xml:space="preserve"> and convert them to cDNA to </w:t>
      </w:r>
      <w:r w:rsidR="00A0642C">
        <w:t xml:space="preserve">generate </w:t>
      </w:r>
      <w:r w:rsidR="005A06B8">
        <w:t>the sequencing librar</w:t>
      </w:r>
      <w:r w:rsidR="006E6440">
        <w:t>ies</w:t>
      </w:r>
      <w:r w:rsidR="005A06B8">
        <w:t>. Briefly, we will ligate a DNA adapter to the 3’ end of RNA fragments, then we will convert the ligated RNA into cDNA with reverse transcriptase. We will run a control oligo during the ligation step to measure ligation efficiency. We will circularize the cDNA and deplete contaminating rRNA before we PCR amplify the sequencing library. While we prepare the ribosome profiling library,</w:t>
      </w:r>
      <w:r w:rsidR="005A06B8" w:rsidRPr="00C80317">
        <w:t xml:space="preserve"> </w:t>
      </w:r>
      <w:r w:rsidR="005A06B8">
        <w:t>we will also</w:t>
      </w:r>
      <w:r w:rsidR="001F0535">
        <w:t xml:space="preserve"> use this protocol to</w:t>
      </w:r>
      <w:r w:rsidR="005A06B8">
        <w:t xml:space="preserve"> </w:t>
      </w:r>
      <w:r w:rsidR="006D5856">
        <w:t xml:space="preserve">generate </w:t>
      </w:r>
      <w:r w:rsidR="005A06B8">
        <w:t xml:space="preserve">an RNA-Seq library to assess transcript abundance. </w:t>
      </w:r>
    </w:p>
    <w:p w14:paraId="4D965AC9" w14:textId="282F8E47" w:rsidR="005A06B8" w:rsidRPr="000E7C54" w:rsidRDefault="006D5856" w:rsidP="005A06B8">
      <w:pPr>
        <w:spacing w:line="480" w:lineRule="auto"/>
        <w:ind w:firstLine="720"/>
        <w:contextualSpacing/>
        <w:jc w:val="both"/>
      </w:pPr>
      <w:r>
        <w:t xml:space="preserve">The ribosome profiling and RNA-Seq </w:t>
      </w:r>
      <w:r w:rsidR="005A06B8">
        <w:t xml:space="preserve">samples will be sequenced by Illumina NovaSeq 6000. We will </w:t>
      </w:r>
      <w:r>
        <w:t xml:space="preserve">process </w:t>
      </w:r>
      <w:r w:rsidR="005A06B8">
        <w:t xml:space="preserve">the data </w:t>
      </w:r>
      <w:r>
        <w:t xml:space="preserve">using </w:t>
      </w:r>
      <w:r w:rsidR="005A06B8">
        <w:t xml:space="preserve">Cutadapt for removal of DNA adapters and Bowtie2 for alignment to the </w:t>
      </w:r>
      <w:r w:rsidR="005A06B8" w:rsidRPr="00C80317">
        <w:rPr>
          <w:i/>
          <w:iCs/>
        </w:rPr>
        <w:t>F. tularensis</w:t>
      </w:r>
      <w:r w:rsidR="005A06B8">
        <w:t xml:space="preserve"> genome. When aligning, we will allow 2 mismatches and will require the reads to only map to a unique genomic site. We will analyze the ribosome footprints with RiboProfiling, and for the RNA-Seq data we will count reads with HTSeq-Count and analyze them with DESeq2.</w:t>
      </w:r>
    </w:p>
    <w:p w14:paraId="187019C4" w14:textId="77777777" w:rsidR="005C22ED" w:rsidRDefault="005C22ED" w:rsidP="005A06B8">
      <w:pPr>
        <w:spacing w:line="480" w:lineRule="auto"/>
        <w:contextualSpacing/>
        <w:jc w:val="both"/>
        <w:rPr>
          <w:b/>
          <w:bCs/>
        </w:rPr>
      </w:pPr>
    </w:p>
    <w:p w14:paraId="40B749DF" w14:textId="7983E0F4" w:rsidR="005A06B8" w:rsidRPr="00905974" w:rsidRDefault="005A06B8" w:rsidP="005A06B8">
      <w:pPr>
        <w:spacing w:line="480" w:lineRule="auto"/>
        <w:contextualSpacing/>
        <w:jc w:val="both"/>
        <w:rPr>
          <w:b/>
          <w:bCs/>
        </w:rPr>
      </w:pPr>
      <w:r w:rsidRPr="00C55C0F">
        <w:rPr>
          <w:b/>
          <w:bCs/>
        </w:rPr>
        <w:t xml:space="preserve">Specific Aim 2. </w:t>
      </w:r>
      <w:r w:rsidR="00912237" w:rsidRPr="00912237">
        <w:rPr>
          <w:b/>
          <w:bCs/>
        </w:rPr>
        <w:t xml:space="preserve">Investigate why the loss of bS21 in </w:t>
      </w:r>
      <w:r w:rsidR="00912237" w:rsidRPr="00912237">
        <w:rPr>
          <w:b/>
          <w:bCs/>
          <w:i/>
          <w:iCs/>
        </w:rPr>
        <w:t>S. aureus</w:t>
      </w:r>
      <w:r w:rsidR="00912237" w:rsidRPr="00912237">
        <w:rPr>
          <w:b/>
          <w:bCs/>
        </w:rPr>
        <w:t xml:space="preserve"> leads to resistance to cell wall-targeting antibiotics.</w:t>
      </w:r>
    </w:p>
    <w:p w14:paraId="5299BA91" w14:textId="4372126F" w:rsidR="005A06B8" w:rsidRPr="004A1579" w:rsidRDefault="005A06B8" w:rsidP="005A06B8">
      <w:pPr>
        <w:spacing w:line="480" w:lineRule="auto"/>
        <w:contextualSpacing/>
        <w:jc w:val="both"/>
        <w:rPr>
          <w:u w:val="single"/>
        </w:rPr>
      </w:pPr>
      <w:r w:rsidRPr="004A1579">
        <w:rPr>
          <w:u w:val="single"/>
        </w:rPr>
        <w:t>Overall strategy</w:t>
      </w:r>
    </w:p>
    <w:p w14:paraId="6E971C3F" w14:textId="2D689E9E" w:rsidR="005A06B8" w:rsidRDefault="005A06B8" w:rsidP="005A06B8">
      <w:pPr>
        <w:spacing w:line="480" w:lineRule="auto"/>
        <w:ind w:firstLine="720"/>
        <w:contextualSpacing/>
        <w:jc w:val="both"/>
      </w:pPr>
      <w:r>
        <w:t xml:space="preserve">We will begin this investigation by making a clean deletion of </w:t>
      </w:r>
      <w:r w:rsidRPr="00471AC8">
        <w:rPr>
          <w:i/>
          <w:iCs/>
        </w:rPr>
        <w:t>rpsU</w:t>
      </w:r>
      <w:r>
        <w:t xml:space="preserve"> from </w:t>
      </w:r>
      <w:r w:rsidRPr="00471AC8">
        <w:rPr>
          <w:i/>
          <w:iCs/>
        </w:rPr>
        <w:t>S. aureus</w:t>
      </w:r>
      <w:r>
        <w:t xml:space="preserve">. We will assess the antibiotic susceptibility profile of this mutant using </w:t>
      </w:r>
      <w:r w:rsidR="001A06F8">
        <w:t>a population analysis protocol adapted by Hanaki and Hiramatsu (2001)</w:t>
      </w:r>
      <w:r>
        <w:t xml:space="preserve"> </w:t>
      </w:r>
      <w:r w:rsidR="001A06F8">
        <w:t xml:space="preserve"> </w:t>
      </w:r>
      <w:r>
        <w:t>against vancomycin and daptomycin. We will investigate whether a lack of bS21 results in a thicker cell envelope using transmission electron microscopy (TEM).</w:t>
      </w:r>
    </w:p>
    <w:p w14:paraId="2343F830" w14:textId="0A3A0199" w:rsidR="00E35DBD" w:rsidRPr="00E35DBD" w:rsidRDefault="00E35DBD" w:rsidP="00C55C0F">
      <w:pPr>
        <w:spacing w:after="0" w:line="480" w:lineRule="auto"/>
        <w:jc w:val="both"/>
        <w:rPr>
          <w:u w:val="single"/>
        </w:rPr>
      </w:pPr>
      <w:r w:rsidRPr="00E35DBD">
        <w:rPr>
          <w:u w:val="single"/>
        </w:rPr>
        <w:t>Strain construction</w:t>
      </w:r>
    </w:p>
    <w:p w14:paraId="0EED04CE" w14:textId="20DBC47C" w:rsidR="005A06B8" w:rsidRDefault="005A06B8" w:rsidP="00C55C0F">
      <w:pPr>
        <w:spacing w:after="0" w:line="480" w:lineRule="auto"/>
        <w:ind w:firstLine="720"/>
        <w:jc w:val="both"/>
      </w:pPr>
      <w:r>
        <w:t xml:space="preserve">The following methods for gene deletion in </w:t>
      </w:r>
      <w:r w:rsidRPr="00F835EF">
        <w:rPr>
          <w:i/>
          <w:iCs/>
        </w:rPr>
        <w:t>S</w:t>
      </w:r>
      <w:r>
        <w:rPr>
          <w:i/>
          <w:iCs/>
        </w:rPr>
        <w:t>.</w:t>
      </w:r>
      <w:r w:rsidRPr="00F835EF">
        <w:rPr>
          <w:i/>
          <w:iCs/>
        </w:rPr>
        <w:t xml:space="preserve"> aureus</w:t>
      </w:r>
      <w:r>
        <w:t xml:space="preserve"> are based on the protocol by Kato and Sugai (2011).</w:t>
      </w:r>
      <w:r w:rsidR="00905974">
        <w:t xml:space="preserve"> </w:t>
      </w:r>
      <w:r>
        <w:t xml:space="preserve">We will construct a plasmid </w:t>
      </w:r>
      <w:r w:rsidR="00905974">
        <w:t xml:space="preserve">for allelic exchange based on pKFT, </w:t>
      </w:r>
      <w:r>
        <w:t xml:space="preserve">fusing about 600 bp </w:t>
      </w:r>
      <w:r w:rsidR="00905974">
        <w:t xml:space="preserve">of DNA from </w:t>
      </w:r>
      <w:r>
        <w:t xml:space="preserve">upstream of </w:t>
      </w:r>
      <w:r w:rsidR="00905974">
        <w:t xml:space="preserve">the S. aureus </w:t>
      </w:r>
      <w:r w:rsidRPr="00F835EF">
        <w:rPr>
          <w:i/>
          <w:iCs/>
        </w:rPr>
        <w:t>rpsU</w:t>
      </w:r>
      <w:r>
        <w:t xml:space="preserve"> </w:t>
      </w:r>
      <w:r w:rsidR="00905974">
        <w:t xml:space="preserve">gene </w:t>
      </w:r>
      <w:r>
        <w:t xml:space="preserve">to 600 bp </w:t>
      </w:r>
      <w:r w:rsidR="00905974">
        <w:t xml:space="preserve">of DNA from </w:t>
      </w:r>
      <w:r>
        <w:t>downstream</w:t>
      </w:r>
      <w:r w:rsidR="00905974">
        <w:t xml:space="preserve"> of </w:t>
      </w:r>
      <w:r w:rsidR="00905974" w:rsidRPr="00C55C0F">
        <w:rPr>
          <w:i/>
          <w:iCs/>
        </w:rPr>
        <w:t>rpsU</w:t>
      </w:r>
      <w:r w:rsidR="00905974" w:rsidRPr="00C55C0F">
        <w:t xml:space="preserve"> </w:t>
      </w:r>
      <w:r w:rsidR="001A06F8">
        <w:fldChar w:fldCharType="begin"/>
      </w:r>
      <w:r w:rsidR="001A06F8">
        <w:instrText xml:space="preserve"> ADDIN ZOTERO_ITEM CSL_CITATION {"citationID":"BhEmMB1D","properties":{"formattedCitation":"(Kato &amp; Sugai, 2011)","plainCitation":"(Kato &amp; Sugai, 2011)","noteIndex":0},"citationItems":[{"id":813,"uris":["http://zotero.org/users/9677915/items/B6LAYEQB"],"itemData":{"id":813,"type":"article-journal","abstract":"Staphylococcus aureus is a Gram-positive pathogen that causes opportunistic infections and a wide variety of diseases. Methicillin-resistant S. aureus (MRSA) is frequently isolated as multidrug-resistant in nosocomial and community infections. Molecular genetic manipulation is an important tool for understanding the molecular mechanism of S. aureus infection. However the number of available antibiotic markers is limited due to multidrug resistance. In this study, we constructed two Escherichia coli–S. aureus shuttle vectors, pKFT and pKFC, that carry a temperature-sensitive origin of replication in S. aureus, lacZ(a) enabling a simple blue-white screening in E. coli, an ampicillin resistant gene, and either a tetracycline resistance gene or a chloramphenicol resistance gene. We report a simple technique using pKFT to construct a markerless gene deletion mutant in S. aureus by allelic replacement without the use of a counter-selection marker. Subculture twice at 25°C was critical to promote an allelic exchange rate in S. aureus. This technique is very simple and useful to facilitate genetic research on S. aureus.","container-title":"Journal of Microbiological Methods","DOI":"10.1016/j.mimet.2011.07.010","ISSN":"0167-7012","issue":"1","journalAbbreviation":"Journal of Microbiological Methods","language":"en","page":"76-81","source":"ScienceDirect","title":"A simple method of markerless gene deletion in Staphylococcus aureus","volume":"87","author":[{"family":"Kato","given":"Fuminori"},{"family":"Sugai","given":"Motoyuki"}],"issued":{"date-parts":[["2011",10,1]]}}}],"schema":"https://github.com/citation-style-language/schema/raw/master/csl-citation.json"} </w:instrText>
      </w:r>
      <w:r w:rsidR="001A06F8">
        <w:fldChar w:fldCharType="separate"/>
      </w:r>
      <w:r w:rsidR="001A06F8">
        <w:rPr>
          <w:noProof/>
        </w:rPr>
        <w:t>(Kato &amp; Sugai, 2011)</w:t>
      </w:r>
      <w:r w:rsidR="001A06F8">
        <w:fldChar w:fldCharType="end"/>
      </w:r>
      <w:r w:rsidR="00905974">
        <w:t>.</w:t>
      </w:r>
      <w:r>
        <w:t xml:space="preserve"> pKFT is a vector that has a multicloning site, </w:t>
      </w:r>
      <w:r w:rsidR="00905974">
        <w:t>encodes ampicillin and tetracyc</w:t>
      </w:r>
      <w:r w:rsidR="009B571D">
        <w:t>l</w:t>
      </w:r>
      <w:r w:rsidR="00905974">
        <w:t>ine resistance</w:t>
      </w:r>
      <w:r>
        <w:t xml:space="preserve">, an origin of replication for </w:t>
      </w:r>
      <w:r w:rsidRPr="00BE22A1">
        <w:rPr>
          <w:i/>
          <w:iCs/>
        </w:rPr>
        <w:t>E. coli</w:t>
      </w:r>
      <w:r>
        <w:t xml:space="preserve">, and a </w:t>
      </w:r>
      <w:commentRangeStart w:id="7"/>
      <w:r>
        <w:t xml:space="preserve">temperature-sensitive origin of replication for </w:t>
      </w:r>
      <w:r w:rsidRPr="00BE22A1">
        <w:rPr>
          <w:i/>
          <w:iCs/>
        </w:rPr>
        <w:t>S. aureus</w:t>
      </w:r>
      <w:commentRangeEnd w:id="7"/>
      <w:r w:rsidR="00905974">
        <w:rPr>
          <w:rStyle w:val="CommentReference"/>
        </w:rPr>
        <w:commentReference w:id="7"/>
      </w:r>
      <w:r>
        <w:t>.</w:t>
      </w:r>
      <w:r w:rsidR="00CB3A25">
        <w:t xml:space="preserve"> The plasmid will </w:t>
      </w:r>
      <w:r w:rsidR="00863807">
        <w:t>replicate</w:t>
      </w:r>
      <w:r w:rsidR="006E6440">
        <w:t xml:space="preserve"> in cells that are grown</w:t>
      </w:r>
      <w:r w:rsidR="00863807">
        <w:t xml:space="preserve"> at</w:t>
      </w:r>
      <w:r w:rsidR="006E6440">
        <w:t xml:space="preserve"> </w:t>
      </w:r>
      <w:r w:rsidR="00CB3A25">
        <w:t>30</w:t>
      </w:r>
      <w:r w:rsidR="000D6765">
        <w:t>°</w:t>
      </w:r>
      <w:r w:rsidR="00CB3A25">
        <w:t>C</w:t>
      </w:r>
      <w:r w:rsidR="00863807">
        <w:t xml:space="preserve"> or </w:t>
      </w:r>
      <w:r w:rsidR="005E124A">
        <w:t>below but</w:t>
      </w:r>
      <w:r w:rsidR="006E6440">
        <w:t xml:space="preserve"> cannot replicate at 42°C in </w:t>
      </w:r>
      <w:r w:rsidR="006E6440" w:rsidRPr="005E124A">
        <w:rPr>
          <w:i/>
          <w:iCs/>
        </w:rPr>
        <w:t>S. aureus</w:t>
      </w:r>
      <w:r w:rsidR="00863807">
        <w:t xml:space="preserve">. </w:t>
      </w:r>
      <w:r w:rsidR="006E6440">
        <w:t xml:space="preserve">Thus, growth of </w:t>
      </w:r>
      <w:r w:rsidR="006E6440" w:rsidRPr="005E124A">
        <w:rPr>
          <w:i/>
          <w:iCs/>
        </w:rPr>
        <w:t>S. aureus</w:t>
      </w:r>
      <w:r w:rsidR="006E6440">
        <w:t xml:space="preserve"> cells which harbored the plasmid on tetracycline can only occur if the plasmid has i</w:t>
      </w:r>
      <w:r w:rsidR="00863807">
        <w:t>ntegrat</w:t>
      </w:r>
      <w:r w:rsidR="006E6440">
        <w:t>ed</w:t>
      </w:r>
      <w:r w:rsidR="00863807">
        <w:t xml:space="preserve"> into the chromosome</w:t>
      </w:r>
      <w:r w:rsidR="00CB3A25">
        <w:t>.</w:t>
      </w:r>
      <w:r>
        <w:t xml:space="preserve"> We will </w:t>
      </w:r>
      <w:r w:rsidR="009B571D">
        <w:t>construct the</w:t>
      </w:r>
      <w:r w:rsidR="00EC74CF">
        <w:t xml:space="preserve"> </w:t>
      </w:r>
      <w:r>
        <w:t xml:space="preserve">plasmid in </w:t>
      </w:r>
      <w:r w:rsidRPr="00BE22A1">
        <w:rPr>
          <w:i/>
          <w:iCs/>
        </w:rPr>
        <w:t>E. coli</w:t>
      </w:r>
      <w:r>
        <w:t xml:space="preserve"> and confirm by Sanger sequencing. </w:t>
      </w:r>
      <w:r w:rsidR="00E35DBD">
        <w:t>T</w:t>
      </w:r>
      <w:r>
        <w:t xml:space="preserve">he plasmid will first be transformed into RN4220, a strain of </w:t>
      </w:r>
      <w:r w:rsidRPr="00BE22A1">
        <w:rPr>
          <w:i/>
          <w:iCs/>
        </w:rPr>
        <w:t>S. aureus</w:t>
      </w:r>
      <w:r>
        <w:t xml:space="preserve"> that has been engineered to readily accept foreign DNA</w:t>
      </w:r>
      <w:r w:rsidR="00CB3A25">
        <w:t>, at 30</w:t>
      </w:r>
      <w:r w:rsidR="000D6765">
        <w:t>°</w:t>
      </w:r>
      <w:r w:rsidR="00CB3A25">
        <w:t xml:space="preserve">C to </w:t>
      </w:r>
      <w:r w:rsidR="006E6440">
        <w:t xml:space="preserve">allow </w:t>
      </w:r>
      <w:r w:rsidR="00CB3A25">
        <w:t>plasmid replication</w:t>
      </w:r>
      <w:r w:rsidR="006E6440">
        <w:t>. The pla</w:t>
      </w:r>
      <w:r w:rsidR="005E124A">
        <w:t>s</w:t>
      </w:r>
      <w:r w:rsidR="006E6440">
        <w:t>mid will then</w:t>
      </w:r>
      <w:r w:rsidR="005E124A">
        <w:t xml:space="preserve"> be</w:t>
      </w:r>
      <w:r w:rsidR="006E6440">
        <w:t xml:space="preserve"> isolated from RN4220</w:t>
      </w:r>
      <w:r>
        <w:t xml:space="preserve"> before </w:t>
      </w:r>
      <w:r w:rsidR="00863807">
        <w:t>being</w:t>
      </w:r>
      <w:r>
        <w:t xml:space="preserve"> transformed into the </w:t>
      </w:r>
      <w:r w:rsidR="00863807">
        <w:t>target strain</w:t>
      </w:r>
      <w:r>
        <w:t xml:space="preserve"> of </w:t>
      </w:r>
      <w:r w:rsidRPr="00BE22A1">
        <w:rPr>
          <w:i/>
          <w:iCs/>
        </w:rPr>
        <w:t>S. aureus</w:t>
      </w:r>
      <w:r w:rsidR="003F6EF5" w:rsidRPr="003F6EF5">
        <w:t xml:space="preserve"> </w:t>
      </w:r>
      <w:r w:rsidR="003F6EF5">
        <w:t>for the deletion, SA113</w:t>
      </w:r>
      <w:r>
        <w:t xml:space="preserve">. </w:t>
      </w:r>
      <w:r w:rsidR="00CB3A25">
        <w:t xml:space="preserve"> We will grow</w:t>
      </w:r>
      <w:r>
        <w:t xml:space="preserve"> </w:t>
      </w:r>
      <w:r w:rsidR="003F6EF5">
        <w:t xml:space="preserve">SA113 </w:t>
      </w:r>
      <w:r>
        <w:lastRenderedPageBreak/>
        <w:t>colonies</w:t>
      </w:r>
      <w:r w:rsidR="003F6EF5">
        <w:t xml:space="preserve"> containing the plasmid</w:t>
      </w:r>
      <w:r>
        <w:t xml:space="preserve"> at 42</w:t>
      </w:r>
      <w:r w:rsidR="000D6765">
        <w:t>°</w:t>
      </w:r>
      <w:r>
        <w:t xml:space="preserve">C to </w:t>
      </w:r>
      <w:r w:rsidR="003F6EF5">
        <w:t>promote</w:t>
      </w:r>
      <w:r>
        <w:t xml:space="preserve"> integration </w:t>
      </w:r>
      <w:r w:rsidR="003F6EF5">
        <w:t>i</w:t>
      </w:r>
      <w:r>
        <w:t>nto the chromosome</w:t>
      </w:r>
      <w:r w:rsidR="00EC74CF">
        <w:t>.</w:t>
      </w:r>
      <w:r w:rsidR="0054143F">
        <w:t xml:space="preserve"> </w:t>
      </w:r>
      <w:r>
        <w:t xml:space="preserve">We </w:t>
      </w:r>
      <w:r w:rsidR="00EC74CF">
        <w:t xml:space="preserve">will screen for the </w:t>
      </w:r>
      <w:r w:rsidR="003F6EF5">
        <w:t xml:space="preserve">integration </w:t>
      </w:r>
      <w:r w:rsidR="00EC74CF">
        <w:t xml:space="preserve">of the plasmid </w:t>
      </w:r>
      <w:r w:rsidR="003F6EF5">
        <w:t xml:space="preserve">into the chromosome </w:t>
      </w:r>
      <w:r w:rsidR="00EC74CF">
        <w:t xml:space="preserve">by </w:t>
      </w:r>
      <w:r>
        <w:t xml:space="preserve">colony PCR on colonies that grow in the presence of tetracycline, using primers that are located outside </w:t>
      </w:r>
      <w:r w:rsidRPr="00A34484">
        <w:rPr>
          <w:i/>
          <w:iCs/>
        </w:rPr>
        <w:t>rpsU</w:t>
      </w:r>
      <w:r>
        <w:t xml:space="preserve">. To </w:t>
      </w:r>
      <w:r w:rsidR="00B45D1B">
        <w:t xml:space="preserve">maximize the potential for </w:t>
      </w:r>
      <w:r>
        <w:t>allelic replacement</w:t>
      </w:r>
      <w:r w:rsidR="00E35DBD">
        <w:t>,</w:t>
      </w:r>
      <w:r>
        <w:t xml:space="preserve"> we will grow the primary integrants in TSB without antibiotics overnight at 25</w:t>
      </w:r>
      <w:r w:rsidR="000D6765">
        <w:t>°</w:t>
      </w:r>
      <w:r>
        <w:t>C, then subculture into fresh TSB without antibiotics and grow at 25</w:t>
      </w:r>
      <w:r w:rsidR="000D6765">
        <w:t>°</w:t>
      </w:r>
      <w:r>
        <w:t>C again</w:t>
      </w:r>
      <w:r w:rsidR="00B45D1B">
        <w:t xml:space="preserve">, as growth at 25°C has been demonstrated to promote the second homologous recombination </w:t>
      </w:r>
      <w:r w:rsidR="00863807">
        <w:t>event</w:t>
      </w:r>
      <w:r>
        <w:t>.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22FB0D59" w14:textId="0C589512" w:rsidR="005A06B8" w:rsidRDefault="005A06B8" w:rsidP="00C55C0F">
      <w:pPr>
        <w:spacing w:after="0" w:line="480" w:lineRule="auto"/>
        <w:jc w:val="both"/>
        <w:rPr>
          <w:u w:val="single"/>
        </w:rPr>
      </w:pPr>
      <w:r w:rsidRPr="00B6488B">
        <w:rPr>
          <w:u w:val="single"/>
        </w:rPr>
        <w:t xml:space="preserve">Determining MIC of vancomycin and daptomycin against </w:t>
      </w:r>
      <w:r w:rsidRPr="00E35DBD">
        <w:rPr>
          <w:i/>
          <w:iCs/>
          <w:u w:val="single"/>
        </w:rPr>
        <w:t>S. aureus</w:t>
      </w:r>
    </w:p>
    <w:p w14:paraId="143BCAAE" w14:textId="32EDF888" w:rsidR="005A06B8" w:rsidRDefault="005A06B8" w:rsidP="00E35DBD">
      <w:pPr>
        <w:spacing w:line="480" w:lineRule="auto"/>
        <w:ind w:firstLine="720"/>
        <w:jc w:val="both"/>
      </w:pPr>
      <w:r>
        <w:t xml:space="preserve">We will grow wild-type and </w:t>
      </w:r>
      <w:r w:rsidRPr="00B6488B">
        <w:rPr>
          <w:i/>
          <w:iCs/>
        </w:rPr>
        <w:t>∆rpsU</w:t>
      </w:r>
      <w:r>
        <w:t xml:space="preserve"> </w:t>
      </w:r>
      <w:r w:rsidR="00EE32B1">
        <w:t xml:space="preserve">cells </w:t>
      </w:r>
      <w:r>
        <w:t>shaking overnight in TSB at 37</w:t>
      </w:r>
      <w:r w:rsidR="000D6765">
        <w:t>°</w:t>
      </w:r>
      <w:r>
        <w:t>C. We will normalize the cultures to A</w:t>
      </w:r>
      <w:r>
        <w:rPr>
          <w:vertAlign w:val="subscript"/>
        </w:rPr>
        <w:t>578</w:t>
      </w:r>
      <w:r>
        <w:t>=0.3 so that all plates start with approximately 10</w:t>
      </w:r>
      <w:r>
        <w:rPr>
          <w:vertAlign w:val="superscript"/>
        </w:rPr>
        <w:t>8</w:t>
      </w:r>
      <w:r w:rsidRPr="00B45D1B">
        <w:t xml:space="preserve">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We will spread each dilution of bacterial cells onto plates of each antibiotic concentration in triplicate, allow them to dry, and incubate them at 37</w:t>
      </w:r>
      <w:r w:rsidR="000D6765">
        <w:t>°</w:t>
      </w:r>
      <w:r>
        <w:t xml:space="preserve">C for 48 hours. We will determine the MIC to be the lowest concentration of antibiotic that produces no colonies. We expect that the </w:t>
      </w:r>
      <w:r w:rsidRPr="000E2341">
        <w:rPr>
          <w:i/>
          <w:iCs/>
        </w:rPr>
        <w:t>∆rpsU</w:t>
      </w:r>
      <w:r>
        <w:t xml:space="preserve"> strain will have higher </w:t>
      </w:r>
      <w:r w:rsidR="00E35DBD">
        <w:t>minimum inhibitory concentration (</w:t>
      </w:r>
      <w:r>
        <w:t>MICs</w:t>
      </w:r>
      <w:r w:rsidR="00E35DBD">
        <w:t xml:space="preserve">) </w:t>
      </w:r>
      <w:r>
        <w:t xml:space="preserve">compared to </w:t>
      </w:r>
      <w:proofErr w:type="gramStart"/>
      <w:r>
        <w:t>wild-type</w:t>
      </w:r>
      <w:proofErr w:type="gramEnd"/>
      <w:r>
        <w:t>.</w:t>
      </w:r>
    </w:p>
    <w:p w14:paraId="75E5C2EB" w14:textId="72699FDF" w:rsidR="005A06B8" w:rsidRPr="000E2341" w:rsidRDefault="005A06B8" w:rsidP="00C55C0F">
      <w:pPr>
        <w:spacing w:after="0" w:line="480" w:lineRule="auto"/>
        <w:jc w:val="both"/>
        <w:rPr>
          <w:u w:val="single"/>
        </w:rPr>
      </w:pPr>
      <w:r w:rsidRPr="000E2341">
        <w:rPr>
          <w:u w:val="single"/>
        </w:rPr>
        <w:t>TEM preparation</w:t>
      </w:r>
      <w:r>
        <w:rPr>
          <w:u w:val="single"/>
        </w:rPr>
        <w:t xml:space="preserve"> to measure cell wall </w:t>
      </w:r>
      <w:proofErr w:type="gramStart"/>
      <w:r>
        <w:rPr>
          <w:u w:val="single"/>
        </w:rPr>
        <w:t>thickness</w:t>
      </w:r>
      <w:proofErr w:type="gramEnd"/>
    </w:p>
    <w:p w14:paraId="0A73A6F0" w14:textId="70C5DC5E" w:rsidR="005A06B8" w:rsidRDefault="005A06B8" w:rsidP="00E35DBD">
      <w:pPr>
        <w:spacing w:line="480" w:lineRule="auto"/>
        <w:ind w:firstLine="720"/>
        <w:jc w:val="both"/>
      </w:pPr>
      <w:r>
        <w:t xml:space="preserve">We will grow wild-type </w:t>
      </w:r>
      <w:r w:rsidRPr="000E2341">
        <w:t>and</w:t>
      </w:r>
      <w:r w:rsidRPr="000E2341">
        <w:rPr>
          <w:i/>
          <w:iCs/>
        </w:rPr>
        <w:t xml:space="preserve"> ∆rpsU</w:t>
      </w:r>
      <w:r>
        <w:t xml:space="preserve"> </w:t>
      </w:r>
      <w:r w:rsidR="00014196">
        <w:t xml:space="preserve">cells </w:t>
      </w:r>
      <w:r>
        <w:t>to logarithmic phase in BHI broth shaking at 37</w:t>
      </w:r>
      <w:r w:rsidR="000D6765">
        <w:t>°</w:t>
      </w:r>
      <w:r>
        <w:t xml:space="preserve">C. We will fix the cells in 2% glutaraldehyde in 0.1 M sodium phosphate buffer pH 7.4, incubating for </w:t>
      </w:r>
      <w:r>
        <w:lastRenderedPageBreak/>
        <w:t>2 hours. We will stain the cells with 1% osmium tetroxide for 2 hours at 4</w:t>
      </w:r>
      <w:r w:rsidR="000D6765">
        <w:t>°</w:t>
      </w:r>
      <w:r>
        <w:t>C, then dehydrate in ethanol and embed in resin, preparing thin sections. We will stain the sections with uranyl acetate and lead citrate before analyzing under a transmission electron microscope. We will set the magnification to X30,000.</w:t>
      </w:r>
      <w:r w:rsidR="0054143F">
        <w:t xml:space="preserve"> </w:t>
      </w:r>
    </w:p>
    <w:p w14:paraId="10D7FAEF" w14:textId="1C1E5034" w:rsidR="0054143F" w:rsidRPr="0054143F" w:rsidRDefault="0054143F" w:rsidP="00E35DBD">
      <w:pPr>
        <w:spacing w:line="480" w:lineRule="auto"/>
        <w:ind w:firstLine="720"/>
        <w:jc w:val="both"/>
      </w:pPr>
      <w:proofErr w:type="gramStart"/>
      <w:r>
        <w:t>In the event that</w:t>
      </w:r>
      <w:proofErr w:type="gramEnd"/>
      <w:r>
        <w:t xml:space="preserve"> we do not see thicker cell walls, we will consider what other mechanisms may be at play. To determine this, we will take a</w:t>
      </w:r>
      <w:r w:rsidR="00F17E9E">
        <w:t xml:space="preserve">n unbiased, systems-level approach and compare the proteome and transcriptome of </w:t>
      </w:r>
      <w:r>
        <w:t>wild-type</w:t>
      </w:r>
      <w:r w:rsidR="00F17E9E">
        <w:t xml:space="preserve"> cells compared to those lacking bS21 (</w:t>
      </w:r>
      <w:proofErr w:type="gramStart"/>
      <w:r w:rsidR="00F17E9E">
        <w:t>similar to</w:t>
      </w:r>
      <w:proofErr w:type="gramEnd"/>
      <w:r w:rsidR="00F17E9E">
        <w:t xml:space="preserve"> Trautman et al., 2022). This will allow us to identify the transcripts and </w:t>
      </w:r>
      <w:r>
        <w:t xml:space="preserve">proteins </w:t>
      </w:r>
      <w:r w:rsidR="00F17E9E">
        <w:t>that are</w:t>
      </w:r>
      <w:r>
        <w:t xml:space="preserve"> differentially expressed between the two conditions.</w:t>
      </w:r>
    </w:p>
    <w:p w14:paraId="54B473F1" w14:textId="77777777" w:rsidR="009B571D" w:rsidRDefault="009B571D" w:rsidP="009B571D">
      <w:pPr>
        <w:spacing w:line="480" w:lineRule="auto"/>
        <w:contextualSpacing/>
        <w:jc w:val="both"/>
        <w:rPr>
          <w:u w:val="single"/>
        </w:rPr>
      </w:pPr>
      <w:r w:rsidRPr="00901D84">
        <w:rPr>
          <w:u w:val="single"/>
        </w:rPr>
        <w:t>Bacterial strains and growth conditions</w:t>
      </w:r>
      <w:r>
        <w:rPr>
          <w:u w:val="single"/>
        </w:rPr>
        <w:t>:</w:t>
      </w:r>
    </w:p>
    <w:p w14:paraId="29D0C3F0" w14:textId="0FD6E731" w:rsidR="009B571D" w:rsidRPr="00901D84" w:rsidRDefault="009B571D" w:rsidP="009B571D">
      <w:pPr>
        <w:spacing w:line="480" w:lineRule="auto"/>
        <w:contextualSpacing/>
        <w:jc w:val="both"/>
      </w:pPr>
      <w:r w:rsidRPr="004C23CF">
        <w:rPr>
          <w:i/>
          <w:iCs/>
        </w:rPr>
        <w:t>Francisella tularensis</w:t>
      </w:r>
      <w:r>
        <w:t xml:space="preserve"> subspecies </w:t>
      </w:r>
      <w:r w:rsidRPr="00D40C87">
        <w:rPr>
          <w:i/>
          <w:iCs/>
        </w:rPr>
        <w:t xml:space="preserve">holarctica </w:t>
      </w:r>
      <w:r>
        <w:t>Live Vaccine Strain (LVS) and derivatives will be grown in Mueller-Hinton broth supplemented with 10% glucose, 2.5% iron pyrophosphate, and 2% IsoVitalex, shaking aerobically at 37</w:t>
      </w:r>
      <w:r w:rsidR="000D6765">
        <w:t>°</w:t>
      </w:r>
      <w:r>
        <w:t>. On solid medium strains will be grown on cysteine-heart agar supplemented with hemoglobin and incubated at 3</w:t>
      </w:r>
      <w:r w:rsidR="000D6765">
        <w:t>°</w:t>
      </w:r>
      <w:r>
        <w:t xml:space="preserve">C. </w:t>
      </w:r>
      <w:r w:rsidRPr="004C23CF">
        <w:rPr>
          <w:i/>
          <w:iCs/>
        </w:rPr>
        <w:t>E coli</w:t>
      </w:r>
      <w:r>
        <w:t xml:space="preserve"> strain XL1 Blue will be grown in lysogeny broth or agar aerobically at 37</w:t>
      </w:r>
      <w:r w:rsidR="000D6765">
        <w:t>°</w:t>
      </w:r>
      <w:r>
        <w:t xml:space="preserve">C. </w:t>
      </w:r>
      <w:r w:rsidRPr="00D40C87">
        <w:rPr>
          <w:i/>
          <w:iCs/>
        </w:rPr>
        <w:t>Staphylococcus aureus</w:t>
      </w:r>
      <w:r>
        <w:t xml:space="preserve"> strains will be grown in tryptic soy broth </w:t>
      </w:r>
      <w:r w:rsidR="003F6EF5">
        <w:t xml:space="preserve">(TSB) </w:t>
      </w:r>
      <w:r>
        <w:t xml:space="preserve">or agar </w:t>
      </w:r>
      <w:r w:rsidR="003F6EF5">
        <w:t xml:space="preserve">(TSA) </w:t>
      </w:r>
      <w:r>
        <w:t>aerobically at 37</w:t>
      </w:r>
      <w:r w:rsidR="000D6765">
        <w:t>°</w:t>
      </w:r>
      <w:r>
        <w:t>C.</w:t>
      </w:r>
    </w:p>
    <w:p w14:paraId="11D7F884" w14:textId="77777777" w:rsidR="005A06B8" w:rsidRDefault="005A06B8" w:rsidP="005A06B8">
      <w:pPr>
        <w:spacing w:line="480" w:lineRule="auto"/>
        <w:jc w:val="both"/>
      </w:pPr>
    </w:p>
    <w:p w14:paraId="2565A3B1" w14:textId="77777777" w:rsidR="005A06B8" w:rsidRPr="00BE22A1" w:rsidRDefault="005A06B8" w:rsidP="005A06B8">
      <w:pPr>
        <w:spacing w:line="480" w:lineRule="auto"/>
        <w:jc w:val="both"/>
        <w:rPr>
          <w:b/>
          <w:bCs/>
        </w:rPr>
      </w:pPr>
      <w:r w:rsidRPr="00BE22A1">
        <w:rPr>
          <w:b/>
          <w:bCs/>
        </w:rPr>
        <w:t>E. Resources Required</w:t>
      </w:r>
    </w:p>
    <w:p w14:paraId="47457892" w14:textId="57E67E0D" w:rsidR="005A06B8" w:rsidRPr="00BE22A1" w:rsidRDefault="005A06B8" w:rsidP="005A06B8">
      <w:pPr>
        <w:spacing w:line="480" w:lineRule="auto"/>
        <w:contextualSpacing/>
        <w:jc w:val="both"/>
      </w:pPr>
      <w:proofErr w:type="gramStart"/>
      <w:r w:rsidRPr="00BE22A1">
        <w:t>The majority of</w:t>
      </w:r>
      <w:proofErr w:type="gramEnd"/>
      <w:r w:rsidRPr="00BE22A1">
        <w:t xml:space="preserve"> the resources required for these experiments will come from Dr. Kathryn Ramsey’s laboratory. Sanger sequencing</w:t>
      </w:r>
      <w:r w:rsidR="00014196">
        <w:t xml:space="preserve"> and equipment for Western blot imaging </w:t>
      </w:r>
      <w:r w:rsidRPr="00BE22A1">
        <w:t xml:space="preserve">will </w:t>
      </w:r>
      <w:r w:rsidR="00014196">
        <w:t>be provided by</w:t>
      </w:r>
      <w:r w:rsidRPr="00BE22A1">
        <w:t xml:space="preserve"> the </w:t>
      </w:r>
      <w:r w:rsidRPr="00BE22A1">
        <w:lastRenderedPageBreak/>
        <w:t>Rhode Island INBRE Core facility. Microscopy will be carried out with resources from the Rhode Island Consortium for Nanoscience and Nanotechnology.</w:t>
      </w:r>
    </w:p>
    <w:p w14:paraId="4F2F4684" w14:textId="77777777" w:rsidR="005A06B8" w:rsidRDefault="005A06B8" w:rsidP="005A06B8">
      <w:pPr>
        <w:spacing w:line="480" w:lineRule="auto"/>
        <w:contextualSpacing/>
        <w:jc w:val="both"/>
        <w:rPr>
          <w:b/>
          <w:bCs/>
        </w:rPr>
      </w:pPr>
    </w:p>
    <w:p w14:paraId="63B108BF" w14:textId="77777777" w:rsidR="005A06B8" w:rsidRDefault="005A06B8" w:rsidP="005A06B8">
      <w:pPr>
        <w:spacing w:line="480" w:lineRule="auto"/>
        <w:contextualSpacing/>
        <w:jc w:val="both"/>
        <w:rPr>
          <w:b/>
          <w:bCs/>
        </w:rPr>
      </w:pPr>
      <w:commentRangeStart w:id="8"/>
      <w:commentRangeStart w:id="9"/>
      <w:r w:rsidRPr="005953BC">
        <w:rPr>
          <w:b/>
          <w:bCs/>
        </w:rPr>
        <w:t>References</w:t>
      </w:r>
      <w:commentRangeEnd w:id="8"/>
      <w:r w:rsidR="000D6765">
        <w:rPr>
          <w:rStyle w:val="CommentReference"/>
        </w:rPr>
        <w:commentReference w:id="8"/>
      </w:r>
      <w:commentRangeEnd w:id="9"/>
      <w:r w:rsidR="00051C84">
        <w:rPr>
          <w:rStyle w:val="CommentReference"/>
        </w:rPr>
        <w:commentReference w:id="9"/>
      </w:r>
    </w:p>
    <w:p w14:paraId="6FA5003E" w14:textId="7F852F6B" w:rsidR="005A06B8" w:rsidRPr="005953BC" w:rsidRDefault="005A06B8" w:rsidP="005A06B8">
      <w:pPr>
        <w:spacing w:line="480" w:lineRule="auto"/>
        <w:jc w:val="both"/>
        <w:rPr>
          <w:rFonts w:cstheme="minorHAnsi"/>
          <w:b/>
          <w:bCs/>
        </w:rPr>
      </w:pPr>
    </w:p>
    <w:p w14:paraId="771E7FB3" w14:textId="77777777" w:rsidR="005E124A" w:rsidRPr="005E124A" w:rsidRDefault="005A06B8" w:rsidP="005E124A">
      <w:pPr>
        <w:pStyle w:val="Bibliography"/>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r w:rsidR="005E124A" w:rsidRPr="005E124A">
        <w:rPr>
          <w:rFonts w:ascii="Calibri" w:cs="Calibri"/>
        </w:rPr>
        <w:t xml:space="preserve">Basco, M. D. S., Kothari, A., McKinzie, P. B., Revollo, J. R., Agnihothram, S., Azevedo, M. P., Saccente, M., &amp; Hart, M. E. (2019). Reduced vancomycin susceptibility and increased macrophage survival in </w:t>
      </w:r>
      <w:r w:rsidR="005E124A" w:rsidRPr="00763E32">
        <w:rPr>
          <w:rFonts w:ascii="Calibri" w:cs="Calibri"/>
          <w:i/>
          <w:iCs/>
        </w:rPr>
        <w:t>Staphylococcus aureus</w:t>
      </w:r>
      <w:r w:rsidR="005E124A" w:rsidRPr="005E124A">
        <w:rPr>
          <w:rFonts w:ascii="Calibri" w:cs="Calibri"/>
        </w:rPr>
        <w:t xml:space="preserve"> strains sequentially isolated from a bacteraemic patient during a short course of antibiotic therapy. </w:t>
      </w:r>
      <w:r w:rsidR="005E124A" w:rsidRPr="005E124A">
        <w:rPr>
          <w:rFonts w:ascii="Calibri" w:cs="Calibri"/>
          <w:i/>
          <w:iCs/>
        </w:rPr>
        <w:t>Journal of Medical Microbiology</w:t>
      </w:r>
      <w:r w:rsidR="005E124A" w:rsidRPr="005E124A">
        <w:rPr>
          <w:rFonts w:ascii="Calibri" w:cs="Calibri"/>
        </w:rPr>
        <w:t xml:space="preserve">, </w:t>
      </w:r>
      <w:r w:rsidR="005E124A" w:rsidRPr="005E124A">
        <w:rPr>
          <w:rFonts w:ascii="Calibri" w:cs="Calibri"/>
          <w:i/>
          <w:iCs/>
        </w:rPr>
        <w:t>68</w:t>
      </w:r>
      <w:r w:rsidR="005E124A" w:rsidRPr="005E124A">
        <w:rPr>
          <w:rFonts w:ascii="Calibri" w:cs="Calibri"/>
        </w:rPr>
        <w:t>(6), 848–859. https://doi.org/10.1099/jmm.0.000988</w:t>
      </w:r>
    </w:p>
    <w:p w14:paraId="6815F6FA" w14:textId="77777777" w:rsidR="005E124A" w:rsidRPr="005E124A" w:rsidRDefault="005E124A" w:rsidP="005E124A">
      <w:pPr>
        <w:pStyle w:val="Bibliography"/>
        <w:rPr>
          <w:rFonts w:ascii="Calibri" w:cs="Calibri"/>
        </w:rPr>
      </w:pPr>
      <w:r w:rsidRPr="005E124A">
        <w:rPr>
          <w:rFonts w:ascii="Calibri" w:cs="Calibri"/>
        </w:rPr>
        <w:t xml:space="preserve">Berk, V., Zhang, W., Pai, R. D., &amp; Cate, J. H. D. (2006). Structural basis for mRNA and tRNA positioning on the ribosome. </w:t>
      </w:r>
      <w:r w:rsidRPr="005E124A">
        <w:rPr>
          <w:rFonts w:ascii="Calibri" w:cs="Calibri"/>
          <w:i/>
          <w:iCs/>
        </w:rPr>
        <w:t>Proceedings of the National Academy of Sciences of the United States of America</w:t>
      </w:r>
      <w:r w:rsidRPr="005E124A">
        <w:rPr>
          <w:rFonts w:ascii="Calibri" w:cs="Calibri"/>
        </w:rPr>
        <w:t xml:space="preserve">, </w:t>
      </w:r>
      <w:r w:rsidRPr="005E124A">
        <w:rPr>
          <w:rFonts w:ascii="Calibri" w:cs="Calibri"/>
          <w:i/>
          <w:iCs/>
        </w:rPr>
        <w:t>103</w:t>
      </w:r>
      <w:r w:rsidRPr="005E124A">
        <w:rPr>
          <w:rFonts w:ascii="Calibri" w:cs="Calibri"/>
        </w:rPr>
        <w:t>(43), 15830–15834. https://doi.org/10.1073/pnas.0607541103</w:t>
      </w:r>
    </w:p>
    <w:p w14:paraId="2DB0C5E3" w14:textId="77777777" w:rsidR="005E124A" w:rsidRPr="005E124A" w:rsidRDefault="005E124A" w:rsidP="005E124A">
      <w:pPr>
        <w:pStyle w:val="Bibliography"/>
        <w:rPr>
          <w:rFonts w:ascii="Calibri" w:cs="Calibri"/>
        </w:rPr>
      </w:pPr>
      <w:r w:rsidRPr="005E124A">
        <w:rPr>
          <w:rFonts w:ascii="Calibri" w:cs="Calibri"/>
        </w:rPr>
        <w:t xml:space="preserve">Blake, K. L., &amp; O’Neill, A. J. (2013). Transposon library screening for identification of genetic loci participating in intrinsic susceptibility and acquired resistance to antistaphylococcal agents. </w:t>
      </w:r>
      <w:r w:rsidRPr="005E124A">
        <w:rPr>
          <w:rFonts w:ascii="Calibri" w:cs="Calibri"/>
          <w:i/>
          <w:iCs/>
        </w:rPr>
        <w:t>Journal of Antimicrobial Chemotherapy</w:t>
      </w:r>
      <w:r w:rsidRPr="005E124A">
        <w:rPr>
          <w:rFonts w:ascii="Calibri" w:cs="Calibri"/>
        </w:rPr>
        <w:t xml:space="preserve">, </w:t>
      </w:r>
      <w:r w:rsidRPr="005E124A">
        <w:rPr>
          <w:rFonts w:ascii="Calibri" w:cs="Calibri"/>
          <w:i/>
          <w:iCs/>
        </w:rPr>
        <w:t>68</w:t>
      </w:r>
      <w:r w:rsidRPr="005E124A">
        <w:rPr>
          <w:rFonts w:ascii="Calibri" w:cs="Calibri"/>
        </w:rPr>
        <w:t>(1), 12–16. https://doi.org/10.1093/jac/dks373</w:t>
      </w:r>
    </w:p>
    <w:p w14:paraId="71A472F9" w14:textId="77777777" w:rsidR="005E124A" w:rsidRPr="005E124A" w:rsidRDefault="005E124A" w:rsidP="005E124A">
      <w:pPr>
        <w:pStyle w:val="Bibliography"/>
        <w:rPr>
          <w:rFonts w:ascii="Calibri" w:cs="Calibri"/>
        </w:rPr>
      </w:pPr>
      <w:r w:rsidRPr="005E124A">
        <w:rPr>
          <w:rFonts w:ascii="Calibri" w:cs="Calibri"/>
        </w:rPr>
        <w:t xml:space="preserve">Brar, G. A., &amp; Weissman, J. S. (2015). Ribosome profiling reveals </w:t>
      </w:r>
      <w:proofErr w:type="gramStart"/>
      <w:r w:rsidRPr="005E124A">
        <w:rPr>
          <w:rFonts w:ascii="Calibri" w:cs="Calibri"/>
        </w:rPr>
        <w:t>the what</w:t>
      </w:r>
      <w:proofErr w:type="gramEnd"/>
      <w:r w:rsidRPr="005E124A">
        <w:rPr>
          <w:rFonts w:ascii="Calibri" w:cs="Calibri"/>
        </w:rPr>
        <w:t xml:space="preserve">, when, where, and how of protein synthesis. </w:t>
      </w:r>
      <w:r w:rsidRPr="005E124A">
        <w:rPr>
          <w:rFonts w:ascii="Calibri" w:cs="Calibri"/>
          <w:i/>
          <w:iCs/>
        </w:rPr>
        <w:t>Nature Reviews. Molecular Cell Biology</w:t>
      </w:r>
      <w:r w:rsidRPr="005E124A">
        <w:rPr>
          <w:rFonts w:ascii="Calibri" w:cs="Calibri"/>
        </w:rPr>
        <w:t xml:space="preserve">, </w:t>
      </w:r>
      <w:r w:rsidRPr="005E124A">
        <w:rPr>
          <w:rFonts w:ascii="Calibri" w:cs="Calibri"/>
          <w:i/>
          <w:iCs/>
        </w:rPr>
        <w:t>16</w:t>
      </w:r>
      <w:r w:rsidRPr="005E124A">
        <w:rPr>
          <w:rFonts w:ascii="Calibri" w:cs="Calibri"/>
        </w:rPr>
        <w:t>(11), 651–664. https://doi.org/10.1038/nrm4069</w:t>
      </w:r>
    </w:p>
    <w:p w14:paraId="4CDBAEAC" w14:textId="77777777" w:rsidR="005E124A" w:rsidRPr="005E124A" w:rsidRDefault="005E124A" w:rsidP="005E124A">
      <w:pPr>
        <w:pStyle w:val="Bibliography"/>
        <w:rPr>
          <w:rFonts w:ascii="Calibri" w:cs="Calibri"/>
        </w:rPr>
      </w:pPr>
      <w:r w:rsidRPr="005E124A">
        <w:rPr>
          <w:rFonts w:ascii="Calibri" w:cs="Calibri"/>
        </w:rPr>
        <w:lastRenderedPageBreak/>
        <w:t xml:space="preserve">Byrgazov, K., Vesper, O., &amp; Moll, I. (2013). Ribosome heterogeneity: Another level of complexity in bacterial translation regulation. </w:t>
      </w:r>
      <w:r w:rsidRPr="005E124A">
        <w:rPr>
          <w:rFonts w:ascii="Calibri" w:cs="Calibri"/>
          <w:i/>
          <w:iCs/>
        </w:rPr>
        <w:t>Current Opinion in Microbiology</w:t>
      </w:r>
      <w:r w:rsidRPr="005E124A">
        <w:rPr>
          <w:rFonts w:ascii="Calibri" w:cs="Calibri"/>
        </w:rPr>
        <w:t xml:space="preserve">, </w:t>
      </w:r>
      <w:r w:rsidRPr="005E124A">
        <w:rPr>
          <w:rFonts w:ascii="Calibri" w:cs="Calibri"/>
          <w:i/>
          <w:iCs/>
        </w:rPr>
        <w:t>16</w:t>
      </w:r>
      <w:r w:rsidRPr="005E124A">
        <w:rPr>
          <w:rFonts w:ascii="Calibri" w:cs="Calibri"/>
        </w:rPr>
        <w:t>(2), 133–139. https://doi.org/10.1016/j.mib.2013.01.009</w:t>
      </w:r>
    </w:p>
    <w:p w14:paraId="22C8CBD6" w14:textId="77777777" w:rsidR="005E124A" w:rsidRPr="005E124A" w:rsidRDefault="005E124A" w:rsidP="005E124A">
      <w:pPr>
        <w:pStyle w:val="Bibliography"/>
        <w:rPr>
          <w:rFonts w:ascii="Calibri" w:cs="Calibri"/>
        </w:rPr>
      </w:pPr>
      <w:r w:rsidRPr="005E124A">
        <w:rPr>
          <w:rFonts w:ascii="Calibri" w:cs="Calibri"/>
        </w:rPr>
        <w:t xml:space="preserve">Cameron, D. R., Ward, D. V., Kostoulias, X., Howden, B. P., Moellering, R. C., Eliopoulos, G. M., &amp; Peleg, A. Y. (2012). Serine/Threonine Phosphatase Stp1 Contributes to Reduced Susceptibility to Vancomycin and Virulence in </w:t>
      </w:r>
      <w:r w:rsidRPr="00763E32">
        <w:rPr>
          <w:rFonts w:ascii="Calibri" w:cs="Calibri"/>
          <w:i/>
          <w:iCs/>
        </w:rPr>
        <w:t>Staphylococcus aureus</w:t>
      </w:r>
      <w:r w:rsidRPr="005E124A">
        <w:rPr>
          <w:rFonts w:ascii="Calibri" w:cs="Calibri"/>
        </w:rPr>
        <w:t xml:space="preserve">. </w:t>
      </w:r>
      <w:r w:rsidRPr="005E124A">
        <w:rPr>
          <w:rFonts w:ascii="Calibri" w:cs="Calibri"/>
          <w:i/>
          <w:iCs/>
        </w:rPr>
        <w:t>The Journal of Infectious Diseases</w:t>
      </w:r>
      <w:r w:rsidRPr="005E124A">
        <w:rPr>
          <w:rFonts w:ascii="Calibri" w:cs="Calibri"/>
        </w:rPr>
        <w:t xml:space="preserve">, </w:t>
      </w:r>
      <w:r w:rsidRPr="005E124A">
        <w:rPr>
          <w:rFonts w:ascii="Calibri" w:cs="Calibri"/>
          <w:i/>
          <w:iCs/>
        </w:rPr>
        <w:t>205</w:t>
      </w:r>
      <w:r w:rsidRPr="005E124A">
        <w:rPr>
          <w:rFonts w:ascii="Calibri" w:cs="Calibri"/>
        </w:rPr>
        <w:t>(11), 1677–1687. https://doi.org/10.1093/infdis/jis252</w:t>
      </w:r>
    </w:p>
    <w:p w14:paraId="0C4091EF" w14:textId="77777777" w:rsidR="005E124A" w:rsidRPr="005E124A" w:rsidRDefault="005E124A" w:rsidP="005E124A">
      <w:pPr>
        <w:pStyle w:val="Bibliography"/>
        <w:rPr>
          <w:rFonts w:ascii="Calibri" w:cs="Calibri"/>
        </w:rPr>
      </w:pPr>
      <w:r w:rsidRPr="005E124A">
        <w:rPr>
          <w:rFonts w:ascii="Calibri" w:cs="Calibri"/>
        </w:rPr>
        <w:t xml:space="preserve">Celli, J., &amp; Zahrt, T. C. (2013). Mechanisms of </w:t>
      </w:r>
      <w:r w:rsidRPr="00763E32">
        <w:rPr>
          <w:rFonts w:ascii="Calibri" w:cs="Calibri"/>
          <w:i/>
          <w:iCs/>
        </w:rPr>
        <w:t xml:space="preserve">Francisella tularensis </w:t>
      </w:r>
      <w:r w:rsidRPr="005E124A">
        <w:rPr>
          <w:rFonts w:ascii="Calibri" w:cs="Calibri"/>
        </w:rPr>
        <w:t xml:space="preserve">Intracellular Pathogenesis. </w:t>
      </w:r>
      <w:r w:rsidRPr="005E124A">
        <w:rPr>
          <w:rFonts w:ascii="Calibri" w:cs="Calibri"/>
          <w:i/>
          <w:iCs/>
        </w:rPr>
        <w:t>Cold Spring Harbor Perspectives in Medicine</w:t>
      </w:r>
      <w:r w:rsidRPr="005E124A">
        <w:rPr>
          <w:rFonts w:ascii="Calibri" w:cs="Calibri"/>
        </w:rPr>
        <w:t xml:space="preserve">, </w:t>
      </w:r>
      <w:r w:rsidRPr="005E124A">
        <w:rPr>
          <w:rFonts w:ascii="Calibri" w:cs="Calibri"/>
          <w:i/>
          <w:iCs/>
        </w:rPr>
        <w:t>3</w:t>
      </w:r>
      <w:r w:rsidRPr="005E124A">
        <w:rPr>
          <w:rFonts w:ascii="Calibri" w:cs="Calibri"/>
        </w:rPr>
        <w:t>(4), a010314. https://doi.org/10.1101/cshperspect.a010314</w:t>
      </w:r>
    </w:p>
    <w:p w14:paraId="242B325A" w14:textId="77777777" w:rsidR="005E124A" w:rsidRPr="005E124A" w:rsidRDefault="005E124A" w:rsidP="005E124A">
      <w:pPr>
        <w:pStyle w:val="Bibliography"/>
        <w:rPr>
          <w:rFonts w:ascii="Calibri" w:cs="Calibri"/>
        </w:rPr>
      </w:pPr>
      <w:r w:rsidRPr="005E124A">
        <w:rPr>
          <w:rFonts w:ascii="Calibri" w:cs="Calibri"/>
        </w:rPr>
        <w:t xml:space="preserve">Chen, Y.-X., Xu, Z., Ge, X., Hong, J.-Y., Sanyal, S., Lu, Z. J., &amp; Javid, B. (2020). Selective translation by alternative bacterial ribosomes. </w:t>
      </w:r>
      <w:r w:rsidRPr="005E124A">
        <w:rPr>
          <w:rFonts w:ascii="Calibri" w:cs="Calibri"/>
          <w:i/>
          <w:iCs/>
        </w:rPr>
        <w:t>Proceedings of the National Academy of Sciences</w:t>
      </w:r>
      <w:r w:rsidRPr="005E124A">
        <w:rPr>
          <w:rFonts w:ascii="Calibri" w:cs="Calibri"/>
        </w:rPr>
        <w:t xml:space="preserve">, </w:t>
      </w:r>
      <w:r w:rsidRPr="005E124A">
        <w:rPr>
          <w:rFonts w:ascii="Calibri" w:cs="Calibri"/>
          <w:i/>
          <w:iCs/>
        </w:rPr>
        <w:t>117</w:t>
      </w:r>
      <w:r w:rsidRPr="005E124A">
        <w:rPr>
          <w:rFonts w:ascii="Calibri" w:cs="Calibri"/>
        </w:rPr>
        <w:t>(32), 19487–19496. https://doi.org/10.1073/pnas.2009607117</w:t>
      </w:r>
    </w:p>
    <w:p w14:paraId="283766D6" w14:textId="77777777" w:rsidR="005E124A" w:rsidRPr="005E124A" w:rsidRDefault="005E124A" w:rsidP="005E124A">
      <w:pPr>
        <w:pStyle w:val="Bibliography"/>
        <w:rPr>
          <w:rFonts w:ascii="Calibri" w:cs="Calibri"/>
        </w:rPr>
      </w:pPr>
      <w:r w:rsidRPr="005E124A">
        <w:rPr>
          <w:rFonts w:ascii="Calibri" w:cs="Calibri"/>
        </w:rPr>
        <w:t xml:space="preserve">Cui, L., Iwamoto, A., Lian, J.-Q., Neoh, H., Maruyama, T., Horikawa, Y., &amp; Hiramatsu, K. (2006). Novel Mechanism of Antibiotic Resistance Originating in Vancomycin-Intermediate </w:t>
      </w:r>
      <w:r w:rsidRPr="00763E32">
        <w:rPr>
          <w:rFonts w:ascii="Calibri" w:cs="Calibri"/>
          <w:i/>
          <w:iCs/>
        </w:rPr>
        <w:t>Staphylococcus aureus.</w:t>
      </w:r>
      <w:r w:rsidRPr="005E124A">
        <w:rPr>
          <w:rFonts w:ascii="Calibri" w:cs="Calibri"/>
        </w:rPr>
        <w:t xml:space="preserve">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50</w:t>
      </w:r>
      <w:r w:rsidRPr="005E124A">
        <w:rPr>
          <w:rFonts w:ascii="Calibri" w:cs="Calibri"/>
        </w:rPr>
        <w:t>(2), 428–438. https://doi.org/10.1128/AAC.50.2.428-438.2006</w:t>
      </w:r>
    </w:p>
    <w:p w14:paraId="7070E5CC" w14:textId="77777777" w:rsidR="005E124A" w:rsidRPr="005E124A" w:rsidRDefault="005E124A" w:rsidP="005E124A">
      <w:pPr>
        <w:pStyle w:val="Bibliography"/>
        <w:rPr>
          <w:rFonts w:ascii="Calibri" w:cs="Calibri"/>
          <w:lang w:val="es-419"/>
        </w:rPr>
      </w:pPr>
      <w:r w:rsidRPr="005E124A">
        <w:rPr>
          <w:rFonts w:ascii="Calibri" w:cs="Calibri"/>
        </w:rPr>
        <w:t xml:space="preserve">Duval, M., Simonetti, A., </w:t>
      </w:r>
      <w:proofErr w:type="spellStart"/>
      <w:r w:rsidRPr="005E124A">
        <w:rPr>
          <w:rFonts w:ascii="Calibri" w:cs="Calibri"/>
        </w:rPr>
        <w:t>Caldelari</w:t>
      </w:r>
      <w:proofErr w:type="spellEnd"/>
      <w:r w:rsidRPr="005E124A">
        <w:rPr>
          <w:rFonts w:ascii="Calibri" w:cs="Calibri"/>
        </w:rPr>
        <w:t xml:space="preserve">, I., &amp; </w:t>
      </w:r>
      <w:proofErr w:type="spellStart"/>
      <w:r w:rsidRPr="005E124A">
        <w:rPr>
          <w:rFonts w:ascii="Calibri" w:cs="Calibri"/>
        </w:rPr>
        <w:t>Marzi</w:t>
      </w:r>
      <w:proofErr w:type="spellEnd"/>
      <w:r w:rsidRPr="005E124A">
        <w:rPr>
          <w:rFonts w:ascii="Calibri" w:cs="Calibri"/>
        </w:rPr>
        <w:t xml:space="preserve">, S. (2015). Multiple ways to regulate translation initiation in bacteria: Mechanisms, regulatory circuits, dynamics. </w:t>
      </w:r>
      <w:r w:rsidRPr="005E124A">
        <w:rPr>
          <w:rFonts w:ascii="Calibri" w:cs="Calibri"/>
          <w:i/>
          <w:iCs/>
          <w:lang w:val="es-419"/>
        </w:rPr>
        <w:t>Biochimie</w:t>
      </w:r>
      <w:r w:rsidRPr="005E124A">
        <w:rPr>
          <w:rFonts w:ascii="Calibri" w:cs="Calibri"/>
          <w:lang w:val="es-419"/>
        </w:rPr>
        <w:t xml:space="preserve">, </w:t>
      </w:r>
      <w:r w:rsidRPr="005E124A">
        <w:rPr>
          <w:rFonts w:ascii="Calibri" w:cs="Calibri"/>
          <w:i/>
          <w:iCs/>
          <w:lang w:val="es-419"/>
        </w:rPr>
        <w:t>114</w:t>
      </w:r>
      <w:r w:rsidRPr="005E124A">
        <w:rPr>
          <w:rFonts w:ascii="Calibri" w:cs="Calibri"/>
          <w:lang w:val="es-419"/>
        </w:rPr>
        <w:t>, 18–29. https://doi.org/10.1016/j.biochi.2015.03.007</w:t>
      </w:r>
    </w:p>
    <w:p w14:paraId="362CBCF2" w14:textId="77777777" w:rsidR="005E124A" w:rsidRPr="005E124A" w:rsidRDefault="005E124A" w:rsidP="005E124A">
      <w:pPr>
        <w:pStyle w:val="Bibliography"/>
        <w:rPr>
          <w:rFonts w:ascii="Calibri" w:cs="Calibri"/>
        </w:rPr>
      </w:pPr>
      <w:r w:rsidRPr="005E124A">
        <w:rPr>
          <w:rFonts w:ascii="Calibri" w:cs="Calibri"/>
          <w:lang w:val="es-419"/>
        </w:rPr>
        <w:lastRenderedPageBreak/>
        <w:t xml:space="preserve">Friedman, L., Alder, J. D., &amp; Silverman, J. A. (2006). </w:t>
      </w:r>
      <w:r w:rsidRPr="005E124A">
        <w:rPr>
          <w:rFonts w:ascii="Calibri" w:cs="Calibri"/>
        </w:rPr>
        <w:t xml:space="preserve">Genetic Changes That Correlate with Reduced Susceptibility to Daptomycin in </w:t>
      </w:r>
      <w:r w:rsidRPr="00763E32">
        <w:rPr>
          <w:rFonts w:ascii="Calibri" w:cs="Calibri"/>
          <w:i/>
          <w:iCs/>
        </w:rPr>
        <w:t>Staphylococcus aureus</w:t>
      </w:r>
      <w:r w:rsidRPr="005E124A">
        <w:rPr>
          <w:rFonts w:ascii="Calibri" w:cs="Calibri"/>
        </w:rPr>
        <w:t xml:space="preserve">.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50</w:t>
      </w:r>
      <w:r w:rsidRPr="005E124A">
        <w:rPr>
          <w:rFonts w:ascii="Calibri" w:cs="Calibri"/>
        </w:rPr>
        <w:t>(6), 2137–2145. https://doi.org/10.1128/aac.00039-06</w:t>
      </w:r>
    </w:p>
    <w:p w14:paraId="6D5950E0" w14:textId="77777777" w:rsidR="005E124A" w:rsidRPr="005E124A" w:rsidRDefault="005E124A" w:rsidP="005E124A">
      <w:pPr>
        <w:pStyle w:val="Bibliography"/>
        <w:rPr>
          <w:rFonts w:ascii="Calibri" w:cs="Calibri"/>
        </w:rPr>
      </w:pPr>
      <w:r w:rsidRPr="005E124A">
        <w:rPr>
          <w:rFonts w:ascii="Calibri" w:cs="Calibri"/>
        </w:rPr>
        <w:t xml:space="preserve">Gabriel, S. E., &amp; Helmann, J. D. (2009). Contributions of Zur-Controlled Ribosomal Proteins to Growth under Zinc Starvation Conditions. </w:t>
      </w:r>
      <w:r w:rsidRPr="005E124A">
        <w:rPr>
          <w:rFonts w:ascii="Calibri" w:cs="Calibri"/>
          <w:i/>
          <w:iCs/>
        </w:rPr>
        <w:t>Journal of Bacteriology</w:t>
      </w:r>
      <w:r w:rsidRPr="005E124A">
        <w:rPr>
          <w:rFonts w:ascii="Calibri" w:cs="Calibri"/>
        </w:rPr>
        <w:t xml:space="preserve">, </w:t>
      </w:r>
      <w:r w:rsidRPr="005E124A">
        <w:rPr>
          <w:rFonts w:ascii="Calibri" w:cs="Calibri"/>
          <w:i/>
          <w:iCs/>
        </w:rPr>
        <w:t>191</w:t>
      </w:r>
      <w:r w:rsidRPr="005E124A">
        <w:rPr>
          <w:rFonts w:ascii="Calibri" w:cs="Calibri"/>
        </w:rPr>
        <w:t>(19), 6116–6122. https://doi.org/10.1128/JB.00802-09</w:t>
      </w:r>
    </w:p>
    <w:p w14:paraId="16808DB9" w14:textId="77777777" w:rsidR="005E124A" w:rsidRPr="005E124A" w:rsidRDefault="005E124A" w:rsidP="005E124A">
      <w:pPr>
        <w:pStyle w:val="Bibliography"/>
        <w:rPr>
          <w:rFonts w:ascii="Calibri" w:cs="Calibri"/>
        </w:rPr>
      </w:pPr>
      <w:r w:rsidRPr="005E124A">
        <w:rPr>
          <w:rFonts w:ascii="Calibri" w:cs="Calibri"/>
        </w:rPr>
        <w:t xml:space="preserve">Grace, D., &amp; Fetsch, A. (2018). Chapter 1 - </w:t>
      </w:r>
      <w:r w:rsidRPr="00763E32">
        <w:rPr>
          <w:rFonts w:ascii="Calibri" w:cs="Calibri"/>
          <w:i/>
          <w:iCs/>
        </w:rPr>
        <w:t>Staphylococcus aureus</w:t>
      </w:r>
      <w:r w:rsidRPr="005E124A">
        <w:rPr>
          <w:rFonts w:ascii="Calibri" w:cs="Calibri"/>
        </w:rPr>
        <w:t xml:space="preserve">—A Foodborne Pathogen: Epidemiology, Detection, Characterization, Prevention, and Control: An Overview. In A. Fetsch (Ed.), </w:t>
      </w:r>
      <w:r w:rsidRPr="005E124A">
        <w:rPr>
          <w:rFonts w:ascii="Calibri" w:cs="Calibri"/>
          <w:i/>
          <w:iCs/>
        </w:rPr>
        <w:t>Staphylococcus aureus</w:t>
      </w:r>
      <w:r w:rsidRPr="005E124A">
        <w:rPr>
          <w:rFonts w:ascii="Calibri" w:cs="Calibri"/>
        </w:rPr>
        <w:t xml:space="preserve"> (pp. 3–10). Academic Press. https://doi.org/10.1016/B978-0-12-809671-0.00001-2</w:t>
      </w:r>
    </w:p>
    <w:p w14:paraId="5CC9BEDB" w14:textId="77777777" w:rsidR="005E124A" w:rsidRPr="005E124A" w:rsidRDefault="005E124A" w:rsidP="005E124A">
      <w:pPr>
        <w:pStyle w:val="Bibliography"/>
        <w:rPr>
          <w:rFonts w:ascii="Calibri" w:cs="Calibri"/>
        </w:rPr>
      </w:pPr>
      <w:r w:rsidRPr="005E124A">
        <w:rPr>
          <w:rFonts w:ascii="Calibri" w:cs="Calibri"/>
        </w:rPr>
        <w:t xml:space="preserve">Hanaki, H., Kuwahara-Arai, K., Boyle-Vavra, S., Daum, R. S., Labischinski, H., &amp; Hiramatsu, K. (1998). Activated cell-wall synthesis is associated with vancomycin resistance in methicillin-resistant </w:t>
      </w:r>
      <w:r w:rsidRPr="00763E32">
        <w:rPr>
          <w:rFonts w:ascii="Calibri" w:cs="Calibri"/>
          <w:i/>
          <w:iCs/>
        </w:rPr>
        <w:t>Staphylococcus aureus</w:t>
      </w:r>
      <w:r w:rsidRPr="005E124A">
        <w:rPr>
          <w:rFonts w:ascii="Calibri" w:cs="Calibri"/>
        </w:rPr>
        <w:t xml:space="preserve"> clinical strains Mu3 and Mu50. </w:t>
      </w:r>
      <w:r w:rsidRPr="005E124A">
        <w:rPr>
          <w:rFonts w:ascii="Calibri" w:cs="Calibri"/>
          <w:i/>
          <w:iCs/>
        </w:rPr>
        <w:t>Journal of Antimicrobial Chemotherapy</w:t>
      </w:r>
      <w:r w:rsidRPr="005E124A">
        <w:rPr>
          <w:rFonts w:ascii="Calibri" w:cs="Calibri"/>
        </w:rPr>
        <w:t xml:space="preserve">, </w:t>
      </w:r>
      <w:r w:rsidRPr="005E124A">
        <w:rPr>
          <w:rFonts w:ascii="Calibri" w:cs="Calibri"/>
          <w:i/>
          <w:iCs/>
        </w:rPr>
        <w:t>42</w:t>
      </w:r>
      <w:r w:rsidRPr="005E124A">
        <w:rPr>
          <w:rFonts w:ascii="Calibri" w:cs="Calibri"/>
        </w:rPr>
        <w:t>(2), 199–209. https://doi.org/10.1093/jac/42.2.199</w:t>
      </w:r>
    </w:p>
    <w:p w14:paraId="42ABD0CB" w14:textId="77777777" w:rsidR="005E124A" w:rsidRPr="005E124A" w:rsidRDefault="005E124A" w:rsidP="005E124A">
      <w:pPr>
        <w:pStyle w:val="Bibliography"/>
        <w:rPr>
          <w:rFonts w:ascii="Calibri" w:cs="Calibri"/>
        </w:rPr>
      </w:pPr>
      <w:r w:rsidRPr="005E124A">
        <w:rPr>
          <w:rFonts w:ascii="Calibri" w:cs="Calibri"/>
        </w:rPr>
        <w:t xml:space="preserve">Howden, B. P., Davies, J. K., Johnson, P. D. R., Stinear, T. P., &amp; Grayson, M. L. (2010). Reduced Vancomycin Susceptibility in </w:t>
      </w:r>
      <w:r w:rsidRPr="00763E32">
        <w:rPr>
          <w:rFonts w:ascii="Calibri" w:cs="Calibri"/>
          <w:i/>
          <w:iCs/>
        </w:rPr>
        <w:t>Staphylococcus aureus</w:t>
      </w:r>
      <w:r w:rsidRPr="005E124A">
        <w:rPr>
          <w:rFonts w:ascii="Calibri" w:cs="Calibri"/>
        </w:rPr>
        <w:t xml:space="preserve">, Including Vancomycin-Intermediate and Heterogeneous Vancomycin-Intermediate Strains: Resistance Mechanisms, Laboratory Detection, and Clinical Implications. </w:t>
      </w:r>
      <w:r w:rsidRPr="005E124A">
        <w:rPr>
          <w:rFonts w:ascii="Calibri" w:cs="Calibri"/>
          <w:i/>
          <w:iCs/>
        </w:rPr>
        <w:t>Clinical Microbiology Reviews</w:t>
      </w:r>
      <w:r w:rsidRPr="005E124A">
        <w:rPr>
          <w:rFonts w:ascii="Calibri" w:cs="Calibri"/>
        </w:rPr>
        <w:t xml:space="preserve">, </w:t>
      </w:r>
      <w:r w:rsidRPr="005E124A">
        <w:rPr>
          <w:rFonts w:ascii="Calibri" w:cs="Calibri"/>
          <w:i/>
          <w:iCs/>
        </w:rPr>
        <w:t>23</w:t>
      </w:r>
      <w:r w:rsidRPr="005E124A">
        <w:rPr>
          <w:rFonts w:ascii="Calibri" w:cs="Calibri"/>
        </w:rPr>
        <w:t>(1), 99–139. https://doi.org/10.1128/CMR.00042-09</w:t>
      </w:r>
    </w:p>
    <w:p w14:paraId="5475D18A" w14:textId="77777777" w:rsidR="005E124A" w:rsidRPr="005E124A" w:rsidRDefault="005E124A" w:rsidP="005E124A">
      <w:pPr>
        <w:pStyle w:val="Bibliography"/>
        <w:rPr>
          <w:rFonts w:ascii="Calibri" w:cs="Calibri"/>
        </w:rPr>
      </w:pPr>
      <w:r w:rsidRPr="005E124A">
        <w:rPr>
          <w:rFonts w:ascii="Calibri" w:cs="Calibri"/>
        </w:rPr>
        <w:t xml:space="preserve">Johnson, G. E., &amp; Li, G.-W. (2018). Chapter Ten—Genome-Wide Quantitation of Protein Synthesis Rates in Bacteria. In A. J. Carpousis (Ed.), </w:t>
      </w:r>
      <w:r w:rsidRPr="005E124A">
        <w:rPr>
          <w:rFonts w:ascii="Calibri" w:cs="Calibri"/>
          <w:i/>
          <w:iCs/>
        </w:rPr>
        <w:t>Methods in Enzymology</w:t>
      </w:r>
      <w:r w:rsidRPr="005E124A">
        <w:rPr>
          <w:rFonts w:ascii="Calibri" w:cs="Calibri"/>
        </w:rPr>
        <w:t xml:space="preserve"> (Vol. 612, pp. 225–249). Academic Press. https://doi.org/10.1016/bs.mie.2018.08.031</w:t>
      </w:r>
    </w:p>
    <w:p w14:paraId="46F47426" w14:textId="77777777" w:rsidR="005E124A" w:rsidRPr="005E124A" w:rsidRDefault="005E124A" w:rsidP="005E124A">
      <w:pPr>
        <w:pStyle w:val="Bibliography"/>
        <w:rPr>
          <w:rFonts w:ascii="Calibri" w:cs="Calibri"/>
        </w:rPr>
      </w:pPr>
      <w:r w:rsidRPr="005E124A">
        <w:rPr>
          <w:rFonts w:ascii="Calibri" w:cs="Calibri"/>
        </w:rPr>
        <w:lastRenderedPageBreak/>
        <w:t xml:space="preserve">Kato, F., &amp; Sugai, M. (2011). A simple method of markerless gene deletion in </w:t>
      </w:r>
      <w:r w:rsidRPr="00763E32">
        <w:rPr>
          <w:rFonts w:ascii="Calibri" w:cs="Calibri"/>
          <w:i/>
          <w:iCs/>
        </w:rPr>
        <w:t>Staphylococcus aureus</w:t>
      </w:r>
      <w:r w:rsidRPr="005E124A">
        <w:rPr>
          <w:rFonts w:ascii="Calibri" w:cs="Calibri"/>
        </w:rPr>
        <w:t xml:space="preserve">. </w:t>
      </w:r>
      <w:r w:rsidRPr="005E124A">
        <w:rPr>
          <w:rFonts w:ascii="Calibri" w:cs="Calibri"/>
          <w:i/>
          <w:iCs/>
        </w:rPr>
        <w:t>Journal of Microbiological Methods</w:t>
      </w:r>
      <w:r w:rsidRPr="005E124A">
        <w:rPr>
          <w:rFonts w:ascii="Calibri" w:cs="Calibri"/>
        </w:rPr>
        <w:t xml:space="preserve">, </w:t>
      </w:r>
      <w:r w:rsidRPr="005E124A">
        <w:rPr>
          <w:rFonts w:ascii="Calibri" w:cs="Calibri"/>
          <w:i/>
          <w:iCs/>
        </w:rPr>
        <w:t>87</w:t>
      </w:r>
      <w:r w:rsidRPr="005E124A">
        <w:rPr>
          <w:rFonts w:ascii="Calibri" w:cs="Calibri"/>
        </w:rPr>
        <w:t>(1), 76–81. https://doi.org/10.1016/j.mimet.2011.07.010</w:t>
      </w:r>
    </w:p>
    <w:p w14:paraId="2B18A78E" w14:textId="77777777" w:rsidR="005E124A" w:rsidRPr="005E124A" w:rsidRDefault="005E124A" w:rsidP="005E124A">
      <w:pPr>
        <w:pStyle w:val="Bibliography"/>
        <w:rPr>
          <w:rFonts w:ascii="Calibri" w:cs="Calibri"/>
        </w:rPr>
      </w:pPr>
      <w:r w:rsidRPr="005E124A">
        <w:rPr>
          <w:rFonts w:ascii="Calibri" w:cs="Calibri"/>
        </w:rPr>
        <w:t xml:space="preserve">Lilleorg, S., Reier, K., Pulk, A., Liiv, A., Tammsalu, T., Peil, L., Cate, J. H. D., &amp; Remme, J. (2019). Bacterial ribosome heterogeneity: Changes in ribosomal protein composition during transition into stationary growth phase. </w:t>
      </w:r>
      <w:r w:rsidRPr="005E124A">
        <w:rPr>
          <w:rFonts w:ascii="Calibri" w:cs="Calibri"/>
          <w:i/>
          <w:iCs/>
        </w:rPr>
        <w:t>Biochimie</w:t>
      </w:r>
      <w:r w:rsidRPr="005E124A">
        <w:rPr>
          <w:rFonts w:ascii="Calibri" w:cs="Calibri"/>
        </w:rPr>
        <w:t xml:space="preserve">, </w:t>
      </w:r>
      <w:r w:rsidRPr="005E124A">
        <w:rPr>
          <w:rFonts w:ascii="Calibri" w:cs="Calibri"/>
          <w:i/>
          <w:iCs/>
        </w:rPr>
        <w:t>156</w:t>
      </w:r>
      <w:r w:rsidRPr="005E124A">
        <w:rPr>
          <w:rFonts w:ascii="Calibri" w:cs="Calibri"/>
        </w:rPr>
        <w:t>, 169–180. https://doi.org/10.1016/j.biochi.2018.10.013</w:t>
      </w:r>
    </w:p>
    <w:p w14:paraId="6BE0AC94" w14:textId="77777777" w:rsidR="005E124A" w:rsidRPr="005E124A" w:rsidRDefault="005E124A" w:rsidP="005E124A">
      <w:pPr>
        <w:pStyle w:val="Bibliography"/>
        <w:rPr>
          <w:rFonts w:ascii="Calibri" w:cs="Calibri"/>
        </w:rPr>
      </w:pPr>
      <w:r w:rsidRPr="005E124A">
        <w:rPr>
          <w:rFonts w:ascii="Calibri" w:cs="Calibri"/>
        </w:rPr>
        <w:t xml:space="preserve">Lilleorg, S., Reier, K., </w:t>
      </w:r>
      <w:proofErr w:type="spellStart"/>
      <w:r w:rsidRPr="005E124A">
        <w:rPr>
          <w:rFonts w:ascii="Calibri" w:cs="Calibri"/>
        </w:rPr>
        <w:t>Volõnkin</w:t>
      </w:r>
      <w:proofErr w:type="spellEnd"/>
      <w:r w:rsidRPr="005E124A">
        <w:rPr>
          <w:rFonts w:ascii="Calibri" w:cs="Calibri"/>
        </w:rPr>
        <w:t>, P., Remme, J., &amp; Liiv, A. (2020). Phenotypic effects of paralogous ribosomal proteins bL31A and bL31B in</w:t>
      </w:r>
      <w:r w:rsidRPr="00763E32">
        <w:rPr>
          <w:rFonts w:ascii="Calibri" w:cs="Calibri"/>
          <w:i/>
          <w:iCs/>
        </w:rPr>
        <w:t xml:space="preserve"> E. coli</w:t>
      </w:r>
      <w:r w:rsidRPr="005E124A">
        <w:rPr>
          <w:rFonts w:ascii="Calibri" w:cs="Calibri"/>
        </w:rPr>
        <w:t xml:space="preserve">. </w:t>
      </w:r>
      <w:r w:rsidRPr="005E124A">
        <w:rPr>
          <w:rFonts w:ascii="Calibri" w:cs="Calibri"/>
          <w:i/>
          <w:iCs/>
        </w:rPr>
        <w:t>Scientific Reports</w:t>
      </w:r>
      <w:r w:rsidRPr="005E124A">
        <w:rPr>
          <w:rFonts w:ascii="Calibri" w:cs="Calibri"/>
        </w:rPr>
        <w:t xml:space="preserve">, </w:t>
      </w:r>
      <w:r w:rsidRPr="005E124A">
        <w:rPr>
          <w:rFonts w:ascii="Calibri" w:cs="Calibri"/>
          <w:i/>
          <w:iCs/>
        </w:rPr>
        <w:t>10</w:t>
      </w:r>
      <w:r w:rsidRPr="005E124A">
        <w:rPr>
          <w:rFonts w:ascii="Calibri" w:cs="Calibri"/>
        </w:rPr>
        <w:t>(1), Article 1. https://doi.org/10.1038/s41598-020-68582-2</w:t>
      </w:r>
    </w:p>
    <w:p w14:paraId="25499A3C" w14:textId="77777777" w:rsidR="005E124A" w:rsidRPr="005E124A" w:rsidRDefault="005E124A" w:rsidP="005E124A">
      <w:pPr>
        <w:pStyle w:val="Bibliography"/>
        <w:rPr>
          <w:rFonts w:ascii="Calibri" w:cs="Calibri"/>
        </w:rPr>
      </w:pPr>
      <w:r w:rsidRPr="005E124A">
        <w:rPr>
          <w:rFonts w:ascii="Calibri" w:cs="Calibri"/>
        </w:rPr>
        <w:t xml:space="preserve">Makarova, K. S., Ponomarev, V. A., &amp; Koonin, E. V. (2001). Two C or not two C: Recurrent disruption of Zn-ribbons, gene duplication, lineage-specific gene loss, and horizontal gene transfer in evolution of bacterial ribosomal proteins. </w:t>
      </w:r>
      <w:r w:rsidRPr="005E124A">
        <w:rPr>
          <w:rFonts w:ascii="Calibri" w:cs="Calibri"/>
          <w:i/>
          <w:iCs/>
        </w:rPr>
        <w:t>Genome Biology</w:t>
      </w:r>
      <w:r w:rsidRPr="005E124A">
        <w:rPr>
          <w:rFonts w:ascii="Calibri" w:cs="Calibri"/>
        </w:rPr>
        <w:t xml:space="preserve">, </w:t>
      </w:r>
      <w:r w:rsidRPr="005E124A">
        <w:rPr>
          <w:rFonts w:ascii="Calibri" w:cs="Calibri"/>
          <w:i/>
          <w:iCs/>
        </w:rPr>
        <w:t>2</w:t>
      </w:r>
      <w:r w:rsidRPr="005E124A">
        <w:rPr>
          <w:rFonts w:ascii="Calibri" w:cs="Calibri"/>
        </w:rPr>
        <w:t>(9), research0033.1-research0033.14.</w:t>
      </w:r>
    </w:p>
    <w:p w14:paraId="13AEBC01" w14:textId="77777777" w:rsidR="005E124A" w:rsidRPr="005E124A" w:rsidRDefault="005E124A" w:rsidP="005E124A">
      <w:pPr>
        <w:pStyle w:val="Bibliography"/>
        <w:rPr>
          <w:rFonts w:ascii="Calibri" w:cs="Calibri"/>
        </w:rPr>
      </w:pPr>
      <w:r w:rsidRPr="005E124A">
        <w:rPr>
          <w:rFonts w:ascii="Calibri" w:cs="Calibri"/>
        </w:rPr>
        <w:t>Matsuo, M., Cui, L., Kim, J., &amp; Hiramatsu, K. (2013). Comprehensive Identification of Mutations Responsible for Heterogeneous Vancomycin-Intermediate</w:t>
      </w:r>
      <w:r w:rsidRPr="00763E32">
        <w:rPr>
          <w:rFonts w:ascii="Calibri" w:cs="Calibri"/>
          <w:i/>
          <w:iCs/>
        </w:rPr>
        <w:t xml:space="preserve"> Staphylococcus aureus </w:t>
      </w:r>
      <w:r w:rsidRPr="005E124A">
        <w:rPr>
          <w:rFonts w:ascii="Calibri" w:cs="Calibri"/>
        </w:rPr>
        <w:t xml:space="preserve">(hVISA)-to-VISA Conversion in Laboratory-Generated VISA Strains Derived from hVISA Clinical Strain Mu3.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57</w:t>
      </w:r>
      <w:r w:rsidRPr="005E124A">
        <w:rPr>
          <w:rFonts w:ascii="Calibri" w:cs="Calibri"/>
        </w:rPr>
        <w:t>(12), 5843–5853. https://doi.org/10.1128/AAC.00425-13</w:t>
      </w:r>
    </w:p>
    <w:p w14:paraId="316F1B6D" w14:textId="77777777" w:rsidR="005E124A" w:rsidRPr="005E124A" w:rsidRDefault="005E124A" w:rsidP="005E124A">
      <w:pPr>
        <w:pStyle w:val="Bibliography"/>
        <w:rPr>
          <w:rFonts w:ascii="Calibri" w:cs="Calibri"/>
        </w:rPr>
      </w:pPr>
      <w:r w:rsidRPr="005E124A">
        <w:rPr>
          <w:rFonts w:ascii="Calibri" w:cs="Calibri"/>
        </w:rPr>
        <w:t xml:space="preserve">McNutt, Z. A., Roy, B., Gemler, B. T., Shatoff, E. A., Moon, K.-M., Foster, L. J., Bundschuh, R., &amp; Fredrick, K. (2023). Ribosomes lacking bS21 gain function to regulate protein synthesis in </w:t>
      </w:r>
      <w:r w:rsidRPr="00763E32">
        <w:rPr>
          <w:rFonts w:ascii="Calibri" w:cs="Calibri"/>
          <w:i/>
          <w:iCs/>
        </w:rPr>
        <w:lastRenderedPageBreak/>
        <w:t>Flavobacterium johnsoniae</w:t>
      </w:r>
      <w:r w:rsidRPr="005E124A">
        <w:rPr>
          <w:rFonts w:ascii="Calibri" w:cs="Calibri"/>
        </w:rPr>
        <w:t xml:space="preserve">. </w:t>
      </w:r>
      <w:r w:rsidRPr="005E124A">
        <w:rPr>
          <w:rFonts w:ascii="Calibri" w:cs="Calibri"/>
          <w:i/>
          <w:iCs/>
        </w:rPr>
        <w:t>Nucleic Acids Research</w:t>
      </w:r>
      <w:r w:rsidRPr="005E124A">
        <w:rPr>
          <w:rFonts w:ascii="Calibri" w:cs="Calibri"/>
        </w:rPr>
        <w:t xml:space="preserve">, </w:t>
      </w:r>
      <w:r w:rsidRPr="005E124A">
        <w:rPr>
          <w:rFonts w:ascii="Calibri" w:cs="Calibri"/>
          <w:i/>
          <w:iCs/>
        </w:rPr>
        <w:t>51</w:t>
      </w:r>
      <w:r w:rsidRPr="005E124A">
        <w:rPr>
          <w:rFonts w:ascii="Calibri" w:cs="Calibri"/>
        </w:rPr>
        <w:t>(4), 1927–1942. https://doi.org/10.1093/nar/gkad047</w:t>
      </w:r>
    </w:p>
    <w:p w14:paraId="0E7BECC2" w14:textId="77777777" w:rsidR="005E124A" w:rsidRPr="005E124A" w:rsidRDefault="005E124A" w:rsidP="005E124A">
      <w:pPr>
        <w:pStyle w:val="Bibliography"/>
        <w:rPr>
          <w:rFonts w:ascii="Calibri" w:cs="Calibri"/>
        </w:rPr>
      </w:pPr>
      <w:r w:rsidRPr="005E124A">
        <w:rPr>
          <w:rFonts w:ascii="Calibri" w:cs="Calibri"/>
        </w:rPr>
        <w:t xml:space="preserve">Metselaar, K. I., den Besten, H. M. W., Boekhorst, J., van Hijum, S. A. F. T., Zwietering, M. H., &amp; Abee, T. (2015). Diversity of acid stress resistant variants of </w:t>
      </w:r>
      <w:r w:rsidRPr="00763E32">
        <w:rPr>
          <w:rFonts w:ascii="Calibri" w:cs="Calibri"/>
          <w:i/>
          <w:iCs/>
        </w:rPr>
        <w:t>Listeria monocytogenes</w:t>
      </w:r>
      <w:r w:rsidRPr="005E124A">
        <w:rPr>
          <w:rFonts w:ascii="Calibri" w:cs="Calibri"/>
        </w:rPr>
        <w:t xml:space="preserve"> and the potential role of ribosomal protein S21 encoded by rpsU. </w:t>
      </w:r>
      <w:r w:rsidRPr="005E124A">
        <w:rPr>
          <w:rFonts w:ascii="Calibri" w:cs="Calibri"/>
          <w:i/>
          <w:iCs/>
        </w:rPr>
        <w:t>Frontiers in Microbiology</w:t>
      </w:r>
      <w:r w:rsidRPr="005E124A">
        <w:rPr>
          <w:rFonts w:ascii="Calibri" w:cs="Calibri"/>
        </w:rPr>
        <w:t xml:space="preserve">, </w:t>
      </w:r>
      <w:r w:rsidRPr="005E124A">
        <w:rPr>
          <w:rFonts w:ascii="Calibri" w:cs="Calibri"/>
          <w:i/>
          <w:iCs/>
        </w:rPr>
        <w:t>6</w:t>
      </w:r>
      <w:r w:rsidRPr="005E124A">
        <w:rPr>
          <w:rFonts w:ascii="Calibri" w:cs="Calibri"/>
        </w:rPr>
        <w:t>, 422. https://doi.org/10.3389/fmicb.2015.00422</w:t>
      </w:r>
    </w:p>
    <w:p w14:paraId="43367EE1" w14:textId="77777777" w:rsidR="005E124A" w:rsidRPr="005E124A" w:rsidRDefault="005E124A" w:rsidP="005E124A">
      <w:pPr>
        <w:pStyle w:val="Bibliography"/>
        <w:rPr>
          <w:rFonts w:ascii="Calibri" w:cs="Calibri"/>
        </w:rPr>
      </w:pPr>
      <w:r w:rsidRPr="005E124A">
        <w:rPr>
          <w:rFonts w:ascii="Calibri" w:cs="Calibri"/>
        </w:rPr>
        <w:t xml:space="preserve">Miller, W. R., Bayer, A. S., &amp; Arias, C. A. (2016). Mechanism of Action and Resistance to Daptomycin in </w:t>
      </w:r>
      <w:r w:rsidRPr="00763E32">
        <w:rPr>
          <w:rFonts w:ascii="Calibri" w:cs="Calibri"/>
          <w:i/>
          <w:iCs/>
        </w:rPr>
        <w:t>Staphylococcus aureus</w:t>
      </w:r>
      <w:r w:rsidRPr="005E124A">
        <w:rPr>
          <w:rFonts w:ascii="Calibri" w:cs="Calibri"/>
        </w:rPr>
        <w:t xml:space="preserve"> and Enterococci. </w:t>
      </w:r>
      <w:r w:rsidRPr="005E124A">
        <w:rPr>
          <w:rFonts w:ascii="Calibri" w:cs="Calibri"/>
          <w:i/>
          <w:iCs/>
        </w:rPr>
        <w:t>Cold Spring Harbor Perspectives in Medicine</w:t>
      </w:r>
      <w:r w:rsidRPr="005E124A">
        <w:rPr>
          <w:rFonts w:ascii="Calibri" w:cs="Calibri"/>
        </w:rPr>
        <w:t xml:space="preserve">, </w:t>
      </w:r>
      <w:r w:rsidRPr="005E124A">
        <w:rPr>
          <w:rFonts w:ascii="Calibri" w:cs="Calibri"/>
          <w:i/>
          <w:iCs/>
        </w:rPr>
        <w:t>6</w:t>
      </w:r>
      <w:r w:rsidRPr="005E124A">
        <w:rPr>
          <w:rFonts w:ascii="Calibri" w:cs="Calibri"/>
        </w:rPr>
        <w:t>(11), a026997. https://doi.org/10.1101/cshperspect.a026997</w:t>
      </w:r>
    </w:p>
    <w:p w14:paraId="1CAE649E" w14:textId="77777777" w:rsidR="005E124A" w:rsidRPr="005E124A" w:rsidRDefault="005E124A" w:rsidP="005E124A">
      <w:pPr>
        <w:pStyle w:val="Bibliography"/>
        <w:rPr>
          <w:rFonts w:ascii="Calibri" w:cs="Calibri"/>
        </w:rPr>
      </w:pPr>
      <w:r w:rsidRPr="005E124A">
        <w:rPr>
          <w:rFonts w:ascii="Calibri" w:cs="Calibri"/>
        </w:rPr>
        <w:t>Mizushima, S., &amp; Nomura, M. (1970). Assembly Mapping of 30S Ribosomal Proteins from</w:t>
      </w:r>
      <w:r w:rsidRPr="00763E32">
        <w:rPr>
          <w:rFonts w:ascii="Calibri" w:cs="Calibri"/>
          <w:i/>
          <w:iCs/>
        </w:rPr>
        <w:t xml:space="preserve"> E. coli.</w:t>
      </w:r>
      <w:r w:rsidRPr="005E124A">
        <w:rPr>
          <w:rFonts w:ascii="Calibri" w:cs="Calibri"/>
        </w:rPr>
        <w:t xml:space="preserve"> </w:t>
      </w:r>
      <w:r w:rsidRPr="005E124A">
        <w:rPr>
          <w:rFonts w:ascii="Calibri" w:cs="Calibri"/>
          <w:i/>
          <w:iCs/>
        </w:rPr>
        <w:t>Nature</w:t>
      </w:r>
      <w:r w:rsidRPr="005E124A">
        <w:rPr>
          <w:rFonts w:ascii="Calibri" w:cs="Calibri"/>
        </w:rPr>
        <w:t xml:space="preserve">, </w:t>
      </w:r>
      <w:r w:rsidRPr="005E124A">
        <w:rPr>
          <w:rFonts w:ascii="Calibri" w:cs="Calibri"/>
          <w:i/>
          <w:iCs/>
        </w:rPr>
        <w:t>226</w:t>
      </w:r>
      <w:r w:rsidRPr="005E124A">
        <w:rPr>
          <w:rFonts w:ascii="Calibri" w:cs="Calibri"/>
        </w:rPr>
        <w:t>(5252), Article 5252. https://doi.org/10.1038/2261214a0</w:t>
      </w:r>
    </w:p>
    <w:p w14:paraId="6956C3EF" w14:textId="77777777" w:rsidR="005E124A" w:rsidRPr="005E124A" w:rsidRDefault="005E124A" w:rsidP="005E124A">
      <w:pPr>
        <w:pStyle w:val="Bibliography"/>
        <w:rPr>
          <w:rFonts w:ascii="Calibri" w:cs="Calibri"/>
        </w:rPr>
      </w:pPr>
      <w:r w:rsidRPr="005E124A">
        <w:rPr>
          <w:rFonts w:ascii="Calibri" w:cs="Calibri"/>
        </w:rPr>
        <w:t xml:space="preserve">Mohammad, F., &amp; Buskirk, A. R. (2019). Protocol for Ribosome Profiling in Bacteria. </w:t>
      </w:r>
      <w:r w:rsidRPr="005E124A">
        <w:rPr>
          <w:rFonts w:ascii="Calibri" w:cs="Calibri"/>
          <w:i/>
          <w:iCs/>
        </w:rPr>
        <w:t>Bio-Protocol</w:t>
      </w:r>
      <w:r w:rsidRPr="005E124A">
        <w:rPr>
          <w:rFonts w:ascii="Calibri" w:cs="Calibri"/>
        </w:rPr>
        <w:t xml:space="preserve">, </w:t>
      </w:r>
      <w:r w:rsidRPr="005E124A">
        <w:rPr>
          <w:rFonts w:ascii="Calibri" w:cs="Calibri"/>
          <w:i/>
          <w:iCs/>
        </w:rPr>
        <w:t>9</w:t>
      </w:r>
      <w:r w:rsidRPr="005E124A">
        <w:rPr>
          <w:rFonts w:ascii="Calibri" w:cs="Calibri"/>
        </w:rPr>
        <w:t>(24), e3468. https://doi.org/10.21769/BioProtoc.3468</w:t>
      </w:r>
    </w:p>
    <w:p w14:paraId="40A78D0D" w14:textId="77777777" w:rsidR="005E124A" w:rsidRPr="005E124A" w:rsidRDefault="005E124A" w:rsidP="005E124A">
      <w:pPr>
        <w:pStyle w:val="Bibliography"/>
        <w:rPr>
          <w:rFonts w:ascii="Calibri" w:cs="Calibri"/>
        </w:rPr>
      </w:pPr>
      <w:r w:rsidRPr="005E124A">
        <w:rPr>
          <w:rFonts w:ascii="Calibri" w:cs="Calibri"/>
        </w:rPr>
        <w:t xml:space="preserve">Müller, A., Wenzel, M., Strahl, H., Grein, F., Saaki, T. N. V., Kohl, B., Siersma, T., Bandow, J. E., Sahl, H.-G., Schneider, T., &amp; Hamoen, L. W. (2016). Daptomycin inhibits cell envelope synthesis by interfering with fluid membrane microdomains. </w:t>
      </w:r>
      <w:r w:rsidRPr="005E124A">
        <w:rPr>
          <w:rFonts w:ascii="Calibri" w:cs="Calibri"/>
          <w:i/>
          <w:iCs/>
        </w:rPr>
        <w:t>Proceedings of the National Academy of Sciences of the United States of America</w:t>
      </w:r>
      <w:r w:rsidRPr="005E124A">
        <w:rPr>
          <w:rFonts w:ascii="Calibri" w:cs="Calibri"/>
        </w:rPr>
        <w:t xml:space="preserve">, </w:t>
      </w:r>
      <w:r w:rsidRPr="005E124A">
        <w:rPr>
          <w:rFonts w:ascii="Calibri" w:cs="Calibri"/>
          <w:i/>
          <w:iCs/>
        </w:rPr>
        <w:t>113</w:t>
      </w:r>
      <w:r w:rsidRPr="005E124A">
        <w:rPr>
          <w:rFonts w:ascii="Calibri" w:cs="Calibri"/>
        </w:rPr>
        <w:t>(45), E7077. https://doi.org/10.1073/pnas.1611173113</w:t>
      </w:r>
    </w:p>
    <w:p w14:paraId="76DB14C5" w14:textId="417DBFFC" w:rsidR="005E124A" w:rsidRPr="005E124A" w:rsidRDefault="005E124A" w:rsidP="005E124A">
      <w:pPr>
        <w:pStyle w:val="Bibliography"/>
        <w:rPr>
          <w:rFonts w:ascii="Calibri" w:cs="Calibri"/>
        </w:rPr>
      </w:pPr>
      <w:r w:rsidRPr="005E124A">
        <w:rPr>
          <w:rFonts w:ascii="Calibri" w:cs="Calibri"/>
        </w:rPr>
        <w:t xml:space="preserve">Robertson, W. R., Dowsett, S. J., &amp; Hardy, S. J. S. (n.d.). </w:t>
      </w:r>
      <w:r w:rsidRPr="00763E32">
        <w:rPr>
          <w:rFonts w:ascii="Calibri" w:cs="Calibri"/>
        </w:rPr>
        <w:t xml:space="preserve">Exchange of Ribosomal Proteins among the Ribosomes of </w:t>
      </w:r>
      <w:r w:rsidRPr="00F900EF">
        <w:rPr>
          <w:rFonts w:ascii="Calibri" w:cs="Calibri"/>
          <w:i/>
          <w:iCs/>
        </w:rPr>
        <w:t>Escherichia co</w:t>
      </w:r>
      <w:r w:rsidR="00F900EF" w:rsidRPr="00763E32">
        <w:rPr>
          <w:rFonts w:ascii="Calibri" w:cs="Calibri"/>
          <w:i/>
          <w:iCs/>
        </w:rPr>
        <w:t>li</w:t>
      </w:r>
      <w:r w:rsidRPr="00F900EF">
        <w:rPr>
          <w:rFonts w:ascii="Calibri" w:cs="Calibri"/>
        </w:rPr>
        <w:t>.</w:t>
      </w:r>
    </w:p>
    <w:p w14:paraId="4DB8BCBB" w14:textId="77777777" w:rsidR="005E124A" w:rsidRPr="005E124A" w:rsidRDefault="005E124A" w:rsidP="005E124A">
      <w:pPr>
        <w:pStyle w:val="Bibliography"/>
        <w:rPr>
          <w:rFonts w:ascii="Calibri" w:cs="Calibri"/>
        </w:rPr>
      </w:pPr>
      <w:r w:rsidRPr="005E124A">
        <w:rPr>
          <w:rFonts w:ascii="Calibri" w:cs="Calibri"/>
        </w:rPr>
        <w:t xml:space="preserve">Sader, H. S., Fey, P. D., Fish, D. N., Limaye, A. P., Pankey, G., Rahal, J., Rybak, M. J., Snydman, D. R., Steed, L. L., Waites, K., &amp; Jones, R. N. (2009). Evaluation of Vancomycin and </w:t>
      </w:r>
      <w:r w:rsidRPr="005E124A">
        <w:rPr>
          <w:rFonts w:ascii="Calibri" w:cs="Calibri"/>
        </w:rPr>
        <w:lastRenderedPageBreak/>
        <w:t xml:space="preserve">Daptomycin Potency Trends (MIC Creep) against Methicillin-Resistant </w:t>
      </w:r>
      <w:r w:rsidRPr="00763E32">
        <w:rPr>
          <w:rFonts w:ascii="Calibri" w:cs="Calibri"/>
          <w:i/>
          <w:iCs/>
        </w:rPr>
        <w:t>Staphylococcus aureus</w:t>
      </w:r>
      <w:r w:rsidRPr="005E124A">
        <w:rPr>
          <w:rFonts w:ascii="Calibri" w:cs="Calibri"/>
        </w:rPr>
        <w:t xml:space="preserve"> Isolates Collected in Nine U.S. Medical Centers from 2002 to 2006.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53</w:t>
      </w:r>
      <w:r w:rsidRPr="005E124A">
        <w:rPr>
          <w:rFonts w:ascii="Calibri" w:cs="Calibri"/>
        </w:rPr>
        <w:t>(10), 4127. https://doi.org/10.1128/AAC.00616-09</w:t>
      </w:r>
    </w:p>
    <w:p w14:paraId="432D32D1" w14:textId="77777777" w:rsidR="005E124A" w:rsidRPr="005E124A" w:rsidRDefault="005E124A" w:rsidP="005E124A">
      <w:pPr>
        <w:pStyle w:val="Bibliography"/>
        <w:rPr>
          <w:rFonts w:ascii="Calibri" w:cs="Calibri"/>
          <w:lang w:val="es-419"/>
        </w:rPr>
      </w:pPr>
      <w:r w:rsidRPr="005E124A">
        <w:rPr>
          <w:rFonts w:ascii="Calibri" w:cs="Calibri"/>
        </w:rPr>
        <w:t xml:space="preserve">Sauert, M., Temmel, H., &amp; Moll, I. (2015). Heterogeneity of the translational machinery: Variations on a common theme. </w:t>
      </w:r>
      <w:r w:rsidRPr="005E124A">
        <w:rPr>
          <w:rFonts w:ascii="Calibri" w:cs="Calibri"/>
          <w:i/>
          <w:iCs/>
          <w:lang w:val="es-419"/>
        </w:rPr>
        <w:t>Biochimie</w:t>
      </w:r>
      <w:r w:rsidRPr="005E124A">
        <w:rPr>
          <w:rFonts w:ascii="Calibri" w:cs="Calibri"/>
          <w:lang w:val="es-419"/>
        </w:rPr>
        <w:t xml:space="preserve">, </w:t>
      </w:r>
      <w:r w:rsidRPr="005E124A">
        <w:rPr>
          <w:rFonts w:ascii="Calibri" w:cs="Calibri"/>
          <w:i/>
          <w:iCs/>
          <w:lang w:val="es-419"/>
        </w:rPr>
        <w:t>114</w:t>
      </w:r>
      <w:r w:rsidRPr="005E124A">
        <w:rPr>
          <w:rFonts w:ascii="Calibri" w:cs="Calibri"/>
          <w:lang w:val="es-419"/>
        </w:rPr>
        <w:t>, 39–47. https://doi.org/10.1016/j.biochi.2014.12.011</w:t>
      </w:r>
    </w:p>
    <w:p w14:paraId="38035072" w14:textId="77777777" w:rsidR="005E124A" w:rsidRPr="005E124A" w:rsidRDefault="005E124A" w:rsidP="005E124A">
      <w:pPr>
        <w:pStyle w:val="Bibliography"/>
        <w:rPr>
          <w:rFonts w:ascii="Calibri" w:cs="Calibri"/>
        </w:rPr>
      </w:pPr>
      <w:r w:rsidRPr="005E124A">
        <w:rPr>
          <w:rFonts w:ascii="Calibri" w:cs="Calibri"/>
          <w:lang w:val="es-419"/>
        </w:rPr>
        <w:t xml:space="preserve">Takada, H., Morita, M., Shiwa, Y., Sugimoto, R., Suzuki, S., Kawamura, F., &amp; Yoshikawa, H. (2014). </w:t>
      </w:r>
      <w:r w:rsidRPr="005E124A">
        <w:rPr>
          <w:rFonts w:ascii="Calibri" w:cs="Calibri"/>
        </w:rPr>
        <w:t xml:space="preserve">Cell motility and biofilm formation in </w:t>
      </w:r>
      <w:r w:rsidRPr="005E124A">
        <w:rPr>
          <w:rFonts w:ascii="Calibri" w:cs="Calibri"/>
          <w:i/>
          <w:iCs/>
        </w:rPr>
        <w:t>Bacillus subtilis</w:t>
      </w:r>
      <w:r w:rsidRPr="005E124A">
        <w:rPr>
          <w:rFonts w:ascii="Calibri" w:cs="Calibri"/>
        </w:rPr>
        <w:t xml:space="preserve"> are affected by the ribosomal proteins, S11 and S21. </w:t>
      </w:r>
      <w:r w:rsidRPr="005E124A">
        <w:rPr>
          <w:rFonts w:ascii="Calibri" w:cs="Calibri"/>
          <w:i/>
          <w:iCs/>
        </w:rPr>
        <w:t>Bioscience, Biotechnology, and Biochemistry</w:t>
      </w:r>
      <w:r w:rsidRPr="005E124A">
        <w:rPr>
          <w:rFonts w:ascii="Calibri" w:cs="Calibri"/>
        </w:rPr>
        <w:t xml:space="preserve">, </w:t>
      </w:r>
      <w:r w:rsidRPr="005E124A">
        <w:rPr>
          <w:rFonts w:ascii="Calibri" w:cs="Calibri"/>
          <w:i/>
          <w:iCs/>
        </w:rPr>
        <w:t>78</w:t>
      </w:r>
      <w:r w:rsidRPr="005E124A">
        <w:rPr>
          <w:rFonts w:ascii="Calibri" w:cs="Calibri"/>
        </w:rPr>
        <w:t>(5), 898–907. https://doi.org/10.1080/09168451.2014.915729</w:t>
      </w:r>
    </w:p>
    <w:p w14:paraId="7231FB0E" w14:textId="77777777" w:rsidR="005E124A" w:rsidRPr="005E124A" w:rsidRDefault="005E124A" w:rsidP="005E124A">
      <w:pPr>
        <w:pStyle w:val="Bibliography"/>
        <w:rPr>
          <w:rFonts w:ascii="Calibri" w:cs="Calibri"/>
        </w:rPr>
      </w:pPr>
      <w:r w:rsidRPr="005E124A">
        <w:rPr>
          <w:rFonts w:ascii="Calibri" w:cs="Calibri"/>
        </w:rPr>
        <w:t xml:space="preserve">Trautmann, H. S., &amp; Ramsey, K. M. (2022). A Ribosomal Protein Homolog Governs Gene Expression and Virulence in a Bacterial Pathogen. </w:t>
      </w:r>
      <w:r w:rsidRPr="005E124A">
        <w:rPr>
          <w:rFonts w:ascii="Calibri" w:cs="Calibri"/>
          <w:i/>
          <w:iCs/>
        </w:rPr>
        <w:t>Journal of Bacteriology</w:t>
      </w:r>
      <w:r w:rsidRPr="005E124A">
        <w:rPr>
          <w:rFonts w:ascii="Calibri" w:cs="Calibri"/>
        </w:rPr>
        <w:t xml:space="preserve">, </w:t>
      </w:r>
      <w:r w:rsidRPr="005E124A">
        <w:rPr>
          <w:rFonts w:ascii="Calibri" w:cs="Calibri"/>
          <w:i/>
          <w:iCs/>
        </w:rPr>
        <w:t>204</w:t>
      </w:r>
      <w:r w:rsidRPr="005E124A">
        <w:rPr>
          <w:rFonts w:ascii="Calibri" w:cs="Calibri"/>
        </w:rPr>
        <w:t>(10), e00268-22. https://doi.org/10.1128/jb.00268-22</w:t>
      </w:r>
    </w:p>
    <w:p w14:paraId="02793988" w14:textId="77777777" w:rsidR="005E124A" w:rsidRPr="005E124A" w:rsidRDefault="005E124A" w:rsidP="005E124A">
      <w:pPr>
        <w:pStyle w:val="Bibliography"/>
        <w:rPr>
          <w:rFonts w:ascii="Calibri" w:cs="Calibri"/>
        </w:rPr>
      </w:pPr>
      <w:r w:rsidRPr="005E124A">
        <w:rPr>
          <w:rFonts w:ascii="Calibri" w:cs="Calibri"/>
        </w:rPr>
        <w:t xml:space="preserve">Van Duin, J., &amp; Wijnands, R. (1981). The Function of Ribosomal Protein S21 in Protein Synthesis. </w:t>
      </w:r>
      <w:r w:rsidRPr="005E124A">
        <w:rPr>
          <w:rFonts w:ascii="Calibri" w:cs="Calibri"/>
          <w:i/>
          <w:iCs/>
        </w:rPr>
        <w:t>European Journal of Biochemistry</w:t>
      </w:r>
      <w:r w:rsidRPr="005E124A">
        <w:rPr>
          <w:rFonts w:ascii="Calibri" w:cs="Calibri"/>
        </w:rPr>
        <w:t xml:space="preserve">, </w:t>
      </w:r>
      <w:r w:rsidRPr="005E124A">
        <w:rPr>
          <w:rFonts w:ascii="Calibri" w:cs="Calibri"/>
          <w:i/>
          <w:iCs/>
        </w:rPr>
        <w:t>118</w:t>
      </w:r>
      <w:r w:rsidRPr="005E124A">
        <w:rPr>
          <w:rFonts w:ascii="Calibri" w:cs="Calibri"/>
        </w:rPr>
        <w:t>(3), 615–619. https://doi.org/10.1111/j.1432-1033.1981.tb05563.x</w:t>
      </w:r>
    </w:p>
    <w:p w14:paraId="7FA0CA2E" w14:textId="77777777" w:rsidR="005E124A" w:rsidRPr="005E124A" w:rsidRDefault="005E124A" w:rsidP="005E124A">
      <w:pPr>
        <w:pStyle w:val="Bibliography"/>
        <w:rPr>
          <w:rFonts w:ascii="Calibri" w:cs="Calibri"/>
        </w:rPr>
      </w:pPr>
      <w:r w:rsidRPr="005E124A">
        <w:rPr>
          <w:rFonts w:ascii="Calibri" w:cs="Calibri"/>
        </w:rPr>
        <w:t xml:space="preserve">Yutin, N., Puigbò, P., Koonin, E. V., &amp; Wolf, Y. I. (2012). Phylogenomics of Prokaryotic Ribosomal Proteins. </w:t>
      </w:r>
      <w:r w:rsidRPr="005E124A">
        <w:rPr>
          <w:rFonts w:ascii="Calibri" w:cs="Calibri"/>
          <w:i/>
          <w:iCs/>
        </w:rPr>
        <w:t>PLoS ONE</w:t>
      </w:r>
      <w:r w:rsidRPr="005E124A">
        <w:rPr>
          <w:rFonts w:ascii="Calibri" w:cs="Calibri"/>
        </w:rPr>
        <w:t xml:space="preserve">, </w:t>
      </w:r>
      <w:r w:rsidRPr="005E124A">
        <w:rPr>
          <w:rFonts w:ascii="Calibri" w:cs="Calibri"/>
          <w:i/>
          <w:iCs/>
        </w:rPr>
        <w:t>7</w:t>
      </w:r>
      <w:r w:rsidRPr="005E124A">
        <w:rPr>
          <w:rFonts w:ascii="Calibri" w:cs="Calibri"/>
        </w:rPr>
        <w:t>(5), e36972. https://doi.org/10.1371/journal.pone.0036972</w:t>
      </w:r>
    </w:p>
    <w:p w14:paraId="1F48DB45" w14:textId="4C7E7450" w:rsidR="00FE5366" w:rsidRDefault="005A06B8" w:rsidP="005A06B8">
      <w:pPr>
        <w:spacing w:line="480" w:lineRule="auto"/>
        <w:ind w:left="720" w:hanging="720"/>
      </w:pPr>
      <w:r>
        <w:rPr>
          <w:rFonts w:cstheme="minorHAnsi"/>
          <w:b/>
          <w:bCs/>
        </w:rPr>
        <w:fldChar w:fldCharType="end"/>
      </w:r>
    </w:p>
    <w:sectPr w:rsidR="00FE5366">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4-01-09T09:52:00Z" w:initials="KR">
    <w:p w14:paraId="24AED908" w14:textId="7E132660" w:rsidR="0082229D" w:rsidRDefault="0082229D">
      <w:pPr>
        <w:pStyle w:val="CommentText"/>
      </w:pPr>
      <w:r>
        <w:rPr>
          <w:rStyle w:val="CommentReference"/>
        </w:rPr>
        <w:annotationRef/>
      </w:r>
      <w:r>
        <w:t>If you mention Zur, you should include more detail about how it typically represses expression and why derepression occurs in low zinc environments.</w:t>
      </w:r>
    </w:p>
  </w:comment>
  <w:comment w:id="1" w:author="Kathryn Ramsey" w:date="2024-01-08T19:04:00Z" w:initials="KR">
    <w:p w14:paraId="6E0B08D4" w14:textId="4AB74240" w:rsidR="00BE22D9" w:rsidRDefault="00BE22D9">
      <w:pPr>
        <w:pStyle w:val="CommentText"/>
      </w:pPr>
      <w:r>
        <w:rPr>
          <w:rStyle w:val="CommentReference"/>
        </w:rPr>
        <w:annotationRef/>
      </w:r>
      <w:r>
        <w:rPr>
          <w:rStyle w:val="CommentReference"/>
        </w:rPr>
        <w:t>This citation suggests that bS21 is not essential, but does not mention any other species- I would change this reference.</w:t>
      </w:r>
    </w:p>
  </w:comment>
  <w:comment w:id="2" w:author="Kathryn Ramsey" w:date="2024-01-09T10:01:00Z" w:initials="KR">
    <w:p w14:paraId="11BDA924" w14:textId="4FBDCA5A" w:rsidR="006C3150" w:rsidRDefault="006C3150">
      <w:pPr>
        <w:pStyle w:val="CommentText"/>
      </w:pPr>
      <w:r>
        <w:rPr>
          <w:rStyle w:val="CommentReference"/>
        </w:rPr>
        <w:annotationRef/>
      </w:r>
      <w:r>
        <w:t>Adding Chang and Craven doesn’t add a discussion of any other species. I think you should have a reference that examines the presence / absence of r-proteins across the bacterial phylogeny? Maybe one with “</w:t>
      </w:r>
      <w:r>
        <w:t>Koonin” as an author?</w:t>
      </w:r>
    </w:p>
  </w:comment>
  <w:comment w:id="3" w:author="Kathryn Ramsey" w:date="2024-01-07T16:53:00Z" w:initials="KR">
    <w:p w14:paraId="50733917" w14:textId="77777777" w:rsidR="0095798A" w:rsidRDefault="0095798A" w:rsidP="0095798A">
      <w:pPr>
        <w:pStyle w:val="CommentText"/>
      </w:pPr>
      <w:r>
        <w:rPr>
          <w:rStyle w:val="CommentReference"/>
        </w:rPr>
        <w:annotationRef/>
      </w:r>
      <w:r>
        <w:rPr>
          <w:rStyle w:val="CommentReference"/>
        </w:rPr>
        <w:annotationRef/>
      </w:r>
      <w:r>
        <w:t xml:space="preserve">Did that just delete the epitope tag? Double-check. </w:t>
      </w:r>
    </w:p>
  </w:comment>
  <w:comment w:id="4" w:author="Kira Bernabe" w:date="2024-01-08T15:17:00Z" w:initials="KB">
    <w:p w14:paraId="6F6200E4" w14:textId="77777777" w:rsidR="0095798A" w:rsidRDefault="0095798A" w:rsidP="0095798A">
      <w:r>
        <w:rPr>
          <w:rStyle w:val="CommentReference"/>
        </w:rPr>
        <w:annotationRef/>
      </w:r>
      <w:r>
        <w:rPr>
          <w:sz w:val="20"/>
          <w:szCs w:val="20"/>
        </w:rPr>
        <w:t>Snapgene says it’s replaced. Should I say it was replaced by a fragment containing rpsU2 with the new tag at the end?</w:t>
      </w:r>
    </w:p>
  </w:comment>
  <w:comment w:id="5" w:author="Kathryn Ramsey" w:date="2024-01-08T19:30:00Z" w:initials="KR">
    <w:p w14:paraId="1DC92D5B" w14:textId="77777777" w:rsidR="0095798A" w:rsidRDefault="0095798A" w:rsidP="0095798A">
      <w:pPr>
        <w:pStyle w:val="CommentText"/>
      </w:pPr>
      <w:r>
        <w:rPr>
          <w:rStyle w:val="CommentReference"/>
        </w:rPr>
        <w:annotationRef/>
      </w:r>
      <w:r>
        <w:t xml:space="preserve">The way it is written, it sounds like you cut out the VSV-G tag and put in HA or FLAG – or in other words, it sounds like the </w:t>
      </w:r>
      <w:r>
        <w:t xml:space="preserve">BamHI and EcoRI sites flank the tag. You should describe all the DNA that is present between those two restriction enzyme sites, even if it was replaced with identical stuff. Does that make sense? </w:t>
      </w:r>
    </w:p>
  </w:comment>
  <w:comment w:id="6" w:author="Kathryn Ramsey" w:date="2024-01-09T10:11:00Z" w:initials="KR">
    <w:p w14:paraId="3FE03A69" w14:textId="4C670C73" w:rsidR="00082D69" w:rsidRDefault="00082D69">
      <w:pPr>
        <w:pStyle w:val="CommentText"/>
      </w:pPr>
      <w:r>
        <w:rPr>
          <w:rStyle w:val="CommentReference"/>
        </w:rPr>
        <w:annotationRef/>
      </w:r>
      <w:r>
        <w:t xml:space="preserve">I just wanted you to make clear that you cut out the rpsU2-VSVG section and replaced with rpsU2-other tag – not just cutting out the tag and replacing it with a different tag. This is relevant </w:t>
      </w:r>
      <w:r>
        <w:t>bc folks who do molecular biology know that it would be extremely difficult to work with just the DNA fragment that is the size of those tags. Does this make sense?</w:t>
      </w:r>
    </w:p>
  </w:comment>
  <w:comment w:id="7" w:author="Kathryn Ramsey" w:date="2024-01-07T17:32:00Z" w:initials="KR">
    <w:p w14:paraId="01B6749A" w14:textId="674E6039" w:rsidR="00905974" w:rsidRDefault="00905974">
      <w:pPr>
        <w:pStyle w:val="CommentText"/>
      </w:pPr>
      <w:r>
        <w:rPr>
          <w:rStyle w:val="CommentReference"/>
        </w:rPr>
        <w:annotationRef/>
      </w:r>
      <w:r>
        <w:t xml:space="preserve">I’d add another sentence describing what temperatures are permissive vs not for the </w:t>
      </w:r>
      <w:r>
        <w:t>plasmid</w:t>
      </w:r>
    </w:p>
  </w:comment>
  <w:comment w:id="8" w:author="Kira Bernabe" w:date="2024-01-08T17:33:00Z" w:initials="KB">
    <w:p w14:paraId="630AD5D2" w14:textId="77777777" w:rsidR="000D6765" w:rsidRDefault="000D6765" w:rsidP="000D6765">
      <w:r>
        <w:rPr>
          <w:rStyle w:val="CommentReference"/>
        </w:rPr>
        <w:annotationRef/>
      </w:r>
      <w:r>
        <w:rPr>
          <w:sz w:val="20"/>
          <w:szCs w:val="20"/>
        </w:rPr>
        <w:t>Every time we make a new iteration of this it undoes all the italics of the species names &gt;:(</w:t>
      </w:r>
    </w:p>
  </w:comment>
  <w:comment w:id="9" w:author="Kathryn Ramsey" w:date="2024-01-08T20:01:00Z" w:initials="KR">
    <w:p w14:paraId="7C2C2B9F" w14:textId="64EB18F8" w:rsidR="00051C84" w:rsidRDefault="00051C84">
      <w:pPr>
        <w:pStyle w:val="CommentText"/>
      </w:pPr>
      <w:r>
        <w:rPr>
          <w:rStyle w:val="CommentReference"/>
        </w:rPr>
        <w:annotationRef/>
      </w:r>
      <w:r>
        <w:t xml:space="preserve">Ugh. Sorry. Next time you can tell me to sod off about the italics until the final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ED908" w15:done="1"/>
  <w15:commentEx w15:paraId="6E0B08D4" w15:done="1"/>
  <w15:commentEx w15:paraId="11BDA924" w15:paraIdParent="6E0B08D4" w15:done="1"/>
  <w15:commentEx w15:paraId="50733917" w15:done="0"/>
  <w15:commentEx w15:paraId="6F6200E4" w15:paraIdParent="50733917" w15:done="0"/>
  <w15:commentEx w15:paraId="1DC92D5B" w15:paraIdParent="50733917" w15:done="0"/>
  <w15:commentEx w15:paraId="3FE03A69" w15:paraIdParent="50733917" w15:done="0"/>
  <w15:commentEx w15:paraId="01B6749A" w15:done="1"/>
  <w15:commentEx w15:paraId="630AD5D2" w15:done="1"/>
  <w15:commentEx w15:paraId="7C2C2B9F" w15:paraIdParent="630AD5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18D5B" w16cex:dateUtc="2024-01-09T14:52:00Z"/>
  <w16cex:commentExtensible w16cex:durableId="7EB9FAB9" w16cex:dateUtc="2024-01-09T00:04:00Z"/>
  <w16cex:commentExtensible w16cex:durableId="236788EE" w16cex:dateUtc="2024-01-09T15:01:00Z"/>
  <w16cex:commentExtensible w16cex:durableId="19FED0D0" w16cex:dateUtc="2024-01-07T21:53:00Z"/>
  <w16cex:commentExtensible w16cex:durableId="7A4043B7" w16cex:dateUtc="2024-01-08T20:17:00Z"/>
  <w16cex:commentExtensible w16cex:durableId="6B23F556" w16cex:dateUtc="2024-01-09T00:30:00Z"/>
  <w16cex:commentExtensible w16cex:durableId="379B8664" w16cex:dateUtc="2024-01-09T15:11:00Z"/>
  <w16cex:commentExtensible w16cex:durableId="1CE3E4A9" w16cex:dateUtc="2024-01-07T22:32:00Z"/>
  <w16cex:commentExtensible w16cex:durableId="4489FE02" w16cex:dateUtc="2024-01-08T22:33:00Z"/>
  <w16cex:commentExtensible w16cex:durableId="2899A309" w16cex:dateUtc="2024-01-09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ED908" w16cid:durableId="28B18D5B"/>
  <w16cid:commentId w16cid:paraId="6E0B08D4" w16cid:durableId="7EB9FAB9"/>
  <w16cid:commentId w16cid:paraId="11BDA924" w16cid:durableId="236788EE"/>
  <w16cid:commentId w16cid:paraId="50733917" w16cid:durableId="19FED0D0"/>
  <w16cid:commentId w16cid:paraId="6F6200E4" w16cid:durableId="7A4043B7"/>
  <w16cid:commentId w16cid:paraId="1DC92D5B" w16cid:durableId="6B23F556"/>
  <w16cid:commentId w16cid:paraId="3FE03A69" w16cid:durableId="379B8664"/>
  <w16cid:commentId w16cid:paraId="01B6749A" w16cid:durableId="1CE3E4A9"/>
  <w16cid:commentId w16cid:paraId="630AD5D2" w16cid:durableId="4489FE02"/>
  <w16cid:commentId w16cid:paraId="7C2C2B9F" w16cid:durableId="2899A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66C3" w14:textId="77777777" w:rsidR="00045C40" w:rsidRDefault="00045C40" w:rsidP="005A06B8">
      <w:pPr>
        <w:spacing w:after="0" w:line="240" w:lineRule="auto"/>
      </w:pPr>
      <w:r>
        <w:separator/>
      </w:r>
    </w:p>
  </w:endnote>
  <w:endnote w:type="continuationSeparator" w:id="0">
    <w:p w14:paraId="1985C20A" w14:textId="77777777" w:rsidR="00045C40" w:rsidRDefault="00045C40" w:rsidP="005A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42E" w14:textId="77777777" w:rsidR="005A06B8" w:rsidRDefault="005A06B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0896044" w14:textId="77777777" w:rsidR="005A06B8" w:rsidRDefault="005A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8263" w14:textId="77777777" w:rsidR="00045C40" w:rsidRDefault="00045C40" w:rsidP="005A06B8">
      <w:pPr>
        <w:spacing w:after="0" w:line="240" w:lineRule="auto"/>
      </w:pPr>
      <w:r>
        <w:separator/>
      </w:r>
    </w:p>
  </w:footnote>
  <w:footnote w:type="continuationSeparator" w:id="0">
    <w:p w14:paraId="11770F0B" w14:textId="77777777" w:rsidR="00045C40" w:rsidRDefault="00045C40" w:rsidP="005A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37940"/>
    <w:multiLevelType w:val="hybridMultilevel"/>
    <w:tmpl w:val="A864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411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Kira Bernabe">
    <w15:presenceInfo w15:providerId="AD" w15:userId="S::kbernabe@uri.edu::95a48386-7a27-4154-87f5-0b36648fc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8"/>
    <w:rsid w:val="00013408"/>
    <w:rsid w:val="00014196"/>
    <w:rsid w:val="00017910"/>
    <w:rsid w:val="00045C40"/>
    <w:rsid w:val="00051C84"/>
    <w:rsid w:val="00070812"/>
    <w:rsid w:val="00077C88"/>
    <w:rsid w:val="00082D69"/>
    <w:rsid w:val="000D6765"/>
    <w:rsid w:val="00143FCF"/>
    <w:rsid w:val="0014426D"/>
    <w:rsid w:val="0018182F"/>
    <w:rsid w:val="00191B9E"/>
    <w:rsid w:val="00192576"/>
    <w:rsid w:val="001A06F8"/>
    <w:rsid w:val="001D4BF0"/>
    <w:rsid w:val="001F0535"/>
    <w:rsid w:val="002130A9"/>
    <w:rsid w:val="00245022"/>
    <w:rsid w:val="002A1B33"/>
    <w:rsid w:val="00313672"/>
    <w:rsid w:val="003A2B8E"/>
    <w:rsid w:val="003F6EF5"/>
    <w:rsid w:val="00412F9B"/>
    <w:rsid w:val="00422BA1"/>
    <w:rsid w:val="004321E3"/>
    <w:rsid w:val="00483DDB"/>
    <w:rsid w:val="004A1579"/>
    <w:rsid w:val="004B5330"/>
    <w:rsid w:val="004F19CF"/>
    <w:rsid w:val="0050046F"/>
    <w:rsid w:val="00523C91"/>
    <w:rsid w:val="0054143F"/>
    <w:rsid w:val="00574953"/>
    <w:rsid w:val="005A06B8"/>
    <w:rsid w:val="005B14A3"/>
    <w:rsid w:val="005C22ED"/>
    <w:rsid w:val="005E124A"/>
    <w:rsid w:val="00623713"/>
    <w:rsid w:val="0065377D"/>
    <w:rsid w:val="006A3036"/>
    <w:rsid w:val="006B2AC0"/>
    <w:rsid w:val="006C3150"/>
    <w:rsid w:val="006D5856"/>
    <w:rsid w:val="006D6682"/>
    <w:rsid w:val="006E6440"/>
    <w:rsid w:val="006E739C"/>
    <w:rsid w:val="007017EB"/>
    <w:rsid w:val="00712283"/>
    <w:rsid w:val="00763E32"/>
    <w:rsid w:val="00787166"/>
    <w:rsid w:val="00790B41"/>
    <w:rsid w:val="007E563F"/>
    <w:rsid w:val="007F1C59"/>
    <w:rsid w:val="0082229D"/>
    <w:rsid w:val="00827F32"/>
    <w:rsid w:val="00854FA4"/>
    <w:rsid w:val="00863807"/>
    <w:rsid w:val="00892686"/>
    <w:rsid w:val="008A40EE"/>
    <w:rsid w:val="008A5231"/>
    <w:rsid w:val="008A7199"/>
    <w:rsid w:val="00905974"/>
    <w:rsid w:val="00912237"/>
    <w:rsid w:val="0095798A"/>
    <w:rsid w:val="00961A32"/>
    <w:rsid w:val="00976266"/>
    <w:rsid w:val="009777F3"/>
    <w:rsid w:val="009B1B5A"/>
    <w:rsid w:val="009B571D"/>
    <w:rsid w:val="009D2F80"/>
    <w:rsid w:val="00A0642C"/>
    <w:rsid w:val="00A202B9"/>
    <w:rsid w:val="00A3396B"/>
    <w:rsid w:val="00A86FEC"/>
    <w:rsid w:val="00A91201"/>
    <w:rsid w:val="00A96780"/>
    <w:rsid w:val="00AF45B2"/>
    <w:rsid w:val="00B23028"/>
    <w:rsid w:val="00B27819"/>
    <w:rsid w:val="00B45D1B"/>
    <w:rsid w:val="00B46282"/>
    <w:rsid w:val="00BB51F7"/>
    <w:rsid w:val="00BC543D"/>
    <w:rsid w:val="00BD4698"/>
    <w:rsid w:val="00BE22D9"/>
    <w:rsid w:val="00C1437D"/>
    <w:rsid w:val="00C33633"/>
    <w:rsid w:val="00C55C0F"/>
    <w:rsid w:val="00C67B61"/>
    <w:rsid w:val="00CB3A25"/>
    <w:rsid w:val="00CE004F"/>
    <w:rsid w:val="00CE3D2A"/>
    <w:rsid w:val="00CF39ED"/>
    <w:rsid w:val="00D35C30"/>
    <w:rsid w:val="00D819D2"/>
    <w:rsid w:val="00DA5ADE"/>
    <w:rsid w:val="00DB0090"/>
    <w:rsid w:val="00DB1E08"/>
    <w:rsid w:val="00DD11AF"/>
    <w:rsid w:val="00DD21CE"/>
    <w:rsid w:val="00DD446E"/>
    <w:rsid w:val="00DF3772"/>
    <w:rsid w:val="00DF54B7"/>
    <w:rsid w:val="00DF6793"/>
    <w:rsid w:val="00E117E5"/>
    <w:rsid w:val="00E1220B"/>
    <w:rsid w:val="00E35DBD"/>
    <w:rsid w:val="00E44506"/>
    <w:rsid w:val="00E571D8"/>
    <w:rsid w:val="00E64878"/>
    <w:rsid w:val="00E842CE"/>
    <w:rsid w:val="00EC74CF"/>
    <w:rsid w:val="00ED6C5A"/>
    <w:rsid w:val="00EE32B1"/>
    <w:rsid w:val="00F00178"/>
    <w:rsid w:val="00F16E43"/>
    <w:rsid w:val="00F17E9E"/>
    <w:rsid w:val="00F350BD"/>
    <w:rsid w:val="00F60FB7"/>
    <w:rsid w:val="00F900EF"/>
    <w:rsid w:val="00FE5366"/>
    <w:rsid w:val="00FE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9F4"/>
  <w15:chartTrackingRefBased/>
  <w15:docId w15:val="{A66C3F2D-23FB-8840-BF4B-11C2A9C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B8"/>
    <w:pPr>
      <w:spacing w:line="276" w:lineRule="auto"/>
      <w:jc w:val="left"/>
    </w:pPr>
  </w:style>
  <w:style w:type="paragraph" w:styleId="Heading1">
    <w:name w:val="heading 1"/>
    <w:basedOn w:val="Normal"/>
    <w:next w:val="Normal"/>
    <w:link w:val="Heading1Char"/>
    <w:uiPriority w:val="9"/>
    <w:qFormat/>
    <w:rsid w:val="005A0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A06B8"/>
    <w:rPr>
      <w:sz w:val="16"/>
      <w:szCs w:val="16"/>
    </w:rPr>
  </w:style>
  <w:style w:type="paragraph" w:styleId="CommentText">
    <w:name w:val="annotation text"/>
    <w:basedOn w:val="Normal"/>
    <w:link w:val="CommentTextChar"/>
    <w:uiPriority w:val="99"/>
    <w:semiHidden/>
    <w:unhideWhenUsed/>
    <w:rsid w:val="005A06B8"/>
    <w:pPr>
      <w:spacing w:line="240" w:lineRule="auto"/>
    </w:pPr>
    <w:rPr>
      <w:sz w:val="20"/>
      <w:szCs w:val="20"/>
    </w:rPr>
  </w:style>
  <w:style w:type="character" w:customStyle="1" w:styleId="CommentTextChar">
    <w:name w:val="Comment Text Char"/>
    <w:basedOn w:val="DefaultParagraphFont"/>
    <w:link w:val="CommentText"/>
    <w:uiPriority w:val="99"/>
    <w:semiHidden/>
    <w:rsid w:val="005A06B8"/>
    <w:rPr>
      <w:sz w:val="20"/>
      <w:szCs w:val="20"/>
    </w:rPr>
  </w:style>
  <w:style w:type="paragraph" w:styleId="Caption">
    <w:name w:val="caption"/>
    <w:basedOn w:val="Normal"/>
    <w:next w:val="Normal"/>
    <w:uiPriority w:val="35"/>
    <w:unhideWhenUsed/>
    <w:qFormat/>
    <w:rsid w:val="005A06B8"/>
    <w:pPr>
      <w:spacing w:line="240" w:lineRule="auto"/>
    </w:pPr>
    <w:rPr>
      <w:i/>
      <w:iCs/>
      <w:color w:val="44546A" w:themeColor="text2"/>
      <w:sz w:val="18"/>
      <w:szCs w:val="18"/>
    </w:rPr>
  </w:style>
  <w:style w:type="paragraph" w:styleId="Bibliography">
    <w:name w:val="Bibliography"/>
    <w:basedOn w:val="Normal"/>
    <w:next w:val="Normal"/>
    <w:uiPriority w:val="37"/>
    <w:unhideWhenUsed/>
    <w:rsid w:val="005A06B8"/>
    <w:pPr>
      <w:spacing w:after="0" w:line="480" w:lineRule="auto"/>
      <w:ind w:left="720" w:hanging="720"/>
    </w:pPr>
  </w:style>
  <w:style w:type="paragraph" w:styleId="Header">
    <w:name w:val="header"/>
    <w:basedOn w:val="Normal"/>
    <w:link w:val="HeaderChar"/>
    <w:uiPriority w:val="99"/>
    <w:unhideWhenUsed/>
    <w:rsid w:val="005A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B8"/>
  </w:style>
  <w:style w:type="paragraph" w:styleId="Footer">
    <w:name w:val="footer"/>
    <w:basedOn w:val="Normal"/>
    <w:link w:val="FooterChar"/>
    <w:uiPriority w:val="99"/>
    <w:unhideWhenUsed/>
    <w:rsid w:val="005A0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B8"/>
  </w:style>
  <w:style w:type="paragraph" w:styleId="CommentSubject">
    <w:name w:val="annotation subject"/>
    <w:basedOn w:val="CommentText"/>
    <w:next w:val="CommentText"/>
    <w:link w:val="CommentSubjectChar"/>
    <w:uiPriority w:val="99"/>
    <w:semiHidden/>
    <w:unhideWhenUsed/>
    <w:rsid w:val="006B2AC0"/>
    <w:rPr>
      <w:b/>
      <w:bCs/>
    </w:rPr>
  </w:style>
  <w:style w:type="character" w:customStyle="1" w:styleId="CommentSubjectChar">
    <w:name w:val="Comment Subject Char"/>
    <w:basedOn w:val="CommentTextChar"/>
    <w:link w:val="CommentSubject"/>
    <w:uiPriority w:val="99"/>
    <w:semiHidden/>
    <w:rsid w:val="006B2AC0"/>
    <w:rPr>
      <w:b/>
      <w:bCs/>
      <w:sz w:val="20"/>
      <w:szCs w:val="20"/>
    </w:rPr>
  </w:style>
  <w:style w:type="paragraph" w:styleId="Revision">
    <w:name w:val="Revision"/>
    <w:hidden/>
    <w:uiPriority w:val="99"/>
    <w:semiHidden/>
    <w:rsid w:val="00712283"/>
    <w:pPr>
      <w:spacing w:after="0"/>
      <w:jc w:val="left"/>
    </w:pPr>
  </w:style>
  <w:style w:type="character" w:customStyle="1" w:styleId="csl-left-margin">
    <w:name w:val="csl-left-margin"/>
    <w:basedOn w:val="DefaultParagraphFont"/>
    <w:rsid w:val="00C67B61"/>
  </w:style>
  <w:style w:type="character" w:customStyle="1" w:styleId="csl-right-inline">
    <w:name w:val="csl-right-inline"/>
    <w:basedOn w:val="DefaultParagraphFont"/>
    <w:rsid w:val="00C6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750">
      <w:bodyDiv w:val="1"/>
      <w:marLeft w:val="0"/>
      <w:marRight w:val="0"/>
      <w:marTop w:val="0"/>
      <w:marBottom w:val="0"/>
      <w:divBdr>
        <w:top w:val="none" w:sz="0" w:space="0" w:color="auto"/>
        <w:left w:val="none" w:sz="0" w:space="0" w:color="auto"/>
        <w:bottom w:val="none" w:sz="0" w:space="0" w:color="auto"/>
        <w:right w:val="none" w:sz="0" w:space="0" w:color="auto"/>
      </w:divBdr>
      <w:divsChild>
        <w:div w:id="1200238689">
          <w:marLeft w:val="0"/>
          <w:marRight w:val="0"/>
          <w:marTop w:val="0"/>
          <w:marBottom w:val="0"/>
          <w:divBdr>
            <w:top w:val="none" w:sz="0" w:space="0" w:color="auto"/>
            <w:left w:val="none" w:sz="0" w:space="0" w:color="auto"/>
            <w:bottom w:val="none" w:sz="0" w:space="0" w:color="auto"/>
            <w:right w:val="none" w:sz="0" w:space="0" w:color="auto"/>
          </w:divBdr>
        </w:div>
      </w:divsChild>
    </w:div>
    <w:div w:id="899367821">
      <w:bodyDiv w:val="1"/>
      <w:marLeft w:val="0"/>
      <w:marRight w:val="0"/>
      <w:marTop w:val="0"/>
      <w:marBottom w:val="0"/>
      <w:divBdr>
        <w:top w:val="none" w:sz="0" w:space="0" w:color="auto"/>
        <w:left w:val="none" w:sz="0" w:space="0" w:color="auto"/>
        <w:bottom w:val="none" w:sz="0" w:space="0" w:color="auto"/>
        <w:right w:val="none" w:sz="0" w:space="0" w:color="auto"/>
      </w:divBdr>
      <w:divsChild>
        <w:div w:id="868682704">
          <w:marLeft w:val="0"/>
          <w:marRight w:val="0"/>
          <w:marTop w:val="0"/>
          <w:marBottom w:val="0"/>
          <w:divBdr>
            <w:top w:val="none" w:sz="0" w:space="0" w:color="auto"/>
            <w:left w:val="none" w:sz="0" w:space="0" w:color="auto"/>
            <w:bottom w:val="none" w:sz="0" w:space="0" w:color="auto"/>
            <w:right w:val="none" w:sz="0" w:space="0" w:color="auto"/>
          </w:divBdr>
        </w:div>
      </w:divsChild>
    </w:div>
    <w:div w:id="2075353840">
      <w:bodyDiv w:val="1"/>
      <w:marLeft w:val="0"/>
      <w:marRight w:val="0"/>
      <w:marTop w:val="0"/>
      <w:marBottom w:val="0"/>
      <w:divBdr>
        <w:top w:val="none" w:sz="0" w:space="0" w:color="auto"/>
        <w:left w:val="none" w:sz="0" w:space="0" w:color="auto"/>
        <w:bottom w:val="none" w:sz="0" w:space="0" w:color="auto"/>
        <w:right w:val="none" w:sz="0" w:space="0" w:color="auto"/>
      </w:divBdr>
      <w:divsChild>
        <w:div w:id="144241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21983</Words>
  <Characters>125304</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2</cp:revision>
  <dcterms:created xsi:type="dcterms:W3CDTF">2024-01-09T23:44:00Z</dcterms:created>
  <dcterms:modified xsi:type="dcterms:W3CDTF">2024-01-09T23:44:00Z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id="r9aEnau7"/&gt;&lt;style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