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257" w14:textId="77777777" w:rsidR="00FA6493" w:rsidRDefault="00FA6493" w:rsidP="00FA6493">
      <w:pPr>
        <w:rPr>
          <w:b/>
          <w:bCs/>
        </w:rPr>
      </w:pPr>
      <w:r>
        <w:rPr>
          <w:b/>
          <w:bCs/>
        </w:rPr>
        <w:t>Title:</w:t>
      </w:r>
    </w:p>
    <w:p w14:paraId="4C45E9A1" w14:textId="77777777" w:rsidR="00FA6493" w:rsidRPr="00CA4911" w:rsidRDefault="00FA6493" w:rsidP="00FA6493">
      <w:r>
        <w:t>Exploring the role of bS21 in bacterial gene regulation</w:t>
      </w:r>
    </w:p>
    <w:p w14:paraId="63C02C19" w14:textId="16CE7D9F" w:rsidR="00B924C5" w:rsidRPr="00B924C5" w:rsidRDefault="00B924C5" w:rsidP="00B924C5">
      <w:pPr>
        <w:rPr>
          <w:b/>
          <w:bCs/>
        </w:rPr>
      </w:pPr>
      <w:r w:rsidRPr="00CB184F">
        <w:rPr>
          <w:b/>
          <w:bCs/>
        </w:rPr>
        <w:t>Statement of the Problem:</w:t>
      </w:r>
    </w:p>
    <w:p w14:paraId="5E689D03" w14:textId="3F212E77" w:rsidR="00B924C5" w:rsidRDefault="00B924C5" w:rsidP="00B924C5">
      <w:r>
        <w:t xml:space="preserve">The purpose of this study is to determine how the incorporation of different homologs of the ribosomal protein bS21 impacts translation in </w:t>
      </w:r>
      <w:r w:rsidRPr="00CB184F">
        <w:rPr>
          <w:i/>
          <w:iCs/>
        </w:rPr>
        <w:t>Francisella tularensis</w:t>
      </w:r>
      <w:r>
        <w:t xml:space="preserve"> and </w:t>
      </w:r>
      <w:r w:rsidRPr="00CB184F">
        <w:rPr>
          <w:i/>
          <w:iCs/>
        </w:rPr>
        <w:t>Staphylococcus aureus</w:t>
      </w:r>
      <w:r>
        <w:t xml:space="preserve">. Although both organisms are pathogens, manipulation of bS21 results in different phenotypes in each species. In </w:t>
      </w:r>
      <w:r w:rsidRPr="00EE6DC6">
        <w:rPr>
          <w:i/>
          <w:iCs/>
        </w:rPr>
        <w:t>F</w:t>
      </w:r>
      <w:r>
        <w:rPr>
          <w:i/>
          <w:iCs/>
        </w:rPr>
        <w:t>. tularensis</w:t>
      </w:r>
      <w:r>
        <w:t xml:space="preserve">, bS21 is shown to be involved in the expression of the virulence factor Type Six Secretion System (T6SS), while in </w:t>
      </w:r>
      <w:r w:rsidRPr="00EE6DC6">
        <w:rPr>
          <w:i/>
          <w:iCs/>
        </w:rPr>
        <w:t>S</w:t>
      </w:r>
      <w:r>
        <w:rPr>
          <w:i/>
          <w:iCs/>
        </w:rPr>
        <w:t>. aureus</w:t>
      </w:r>
      <w:r>
        <w:t xml:space="preserve"> it may have a role in antibiotic resistance. In </w:t>
      </w:r>
      <w:r w:rsidRPr="00EE6DC6">
        <w:rPr>
          <w:i/>
          <w:iCs/>
        </w:rPr>
        <w:t>F. tularensis</w:t>
      </w:r>
      <w:r>
        <w:rPr>
          <w:i/>
          <w:iCs/>
        </w:rPr>
        <w:t>,</w:t>
      </w:r>
      <w:r>
        <w:t xml:space="preserve"> bS21 presents as three distinct homologs present</w:t>
      </w:r>
      <w:r>
        <w:rPr>
          <w:i/>
          <w:iCs/>
        </w:rPr>
        <w:t xml:space="preserve"> </w:t>
      </w:r>
      <w:r>
        <w:t xml:space="preserve">in different abundances. The goal of this proposed investigation is to establish whether each homolog translates certain mRNAs preferentially in </w:t>
      </w:r>
      <w:r w:rsidRPr="00BE2485">
        <w:rPr>
          <w:i/>
          <w:iCs/>
        </w:rPr>
        <w:t>F. tularensis</w:t>
      </w:r>
      <w:r>
        <w:t xml:space="preserve">, and to recognize if a loss of bS21 impacts cell wall synthesis in </w:t>
      </w:r>
      <w:r w:rsidRPr="00BE2485">
        <w:rPr>
          <w:i/>
          <w:iCs/>
        </w:rPr>
        <w:t>S. aureus</w:t>
      </w:r>
      <w:r>
        <w:rPr>
          <w:i/>
          <w:iCs/>
        </w:rPr>
        <w:t xml:space="preserve"> </w:t>
      </w:r>
      <w:r>
        <w:t>that could lead to antibiotic resistance.</w:t>
      </w:r>
    </w:p>
    <w:p w14:paraId="0DA03467" w14:textId="35F90C7D" w:rsidR="00FE5366" w:rsidRDefault="00175966">
      <w:pPr>
        <w:rPr>
          <w:b/>
          <w:bCs/>
        </w:rPr>
      </w:pPr>
      <w:r>
        <w:rPr>
          <w:b/>
          <w:bCs/>
        </w:rPr>
        <w:t>Justification for the Study</w:t>
      </w:r>
    </w:p>
    <w:p w14:paraId="784B6A1C" w14:textId="0C434A68" w:rsidR="00E37550" w:rsidRPr="00B924C5" w:rsidRDefault="0053769C" w:rsidP="00B924C5">
      <w:pPr>
        <w:contextualSpacing/>
        <w:rPr>
          <w:u w:val="single"/>
        </w:rPr>
      </w:pPr>
      <w:r>
        <w:rPr>
          <w:u w:val="single"/>
        </w:rPr>
        <w:t>Heterogeneity of the ribosome may contribute to bacterial gene regulation</w:t>
      </w:r>
      <w:r w:rsidR="00E37550" w:rsidRPr="00B924C5">
        <w:rPr>
          <w:u w:val="single"/>
        </w:rPr>
        <w:t>:</w:t>
      </w:r>
    </w:p>
    <w:p w14:paraId="21A1B2FC" w14:textId="79BDD5A6" w:rsidR="008A489A" w:rsidRPr="008A489A" w:rsidRDefault="008A489A" w:rsidP="00B924C5">
      <w:pPr>
        <w:ind w:firstLine="720"/>
        <w:contextualSpacing/>
      </w:pPr>
      <w:r w:rsidRPr="008A489A">
        <w:t>The central dogma of molecular biology dictates that the genetic information is</w:t>
      </w:r>
      <w:r w:rsidR="00B924C5">
        <w:t xml:space="preserve"> </w:t>
      </w:r>
      <w:r w:rsidRPr="008A489A">
        <w:t>stored in DNA, which is transcribed into mRNA, which in turn is translated into proteins. Much of the focus of gene regulation is attributed to transcription, but regulation also occurs at the level of translation. Regulation at this level is often due to the effects of mRNA, sRNAs, RNA binding proteins, and ribosome binding proteins</w:t>
      </w:r>
      <w:r w:rsidR="00B04D57">
        <w:t xml:space="preserve"> </w:t>
      </w:r>
      <w:r w:rsidR="00B04D57">
        <w:fldChar w:fldCharType="begin"/>
      </w:r>
      <w:r w:rsidR="00B04D57">
        <w:instrText xml:space="preserve"> ADDIN ZOTERO_ITEM CSL_CITATION {"citationID":"fxL2mKUH","properties":{"formattedCitation":"(Duval et al., 2015)","plainCitation":"(Duval et al., 2015)","noteIndex":0},"citationItems":[{"id":869,"uris":["http://zotero.org/users/9677915/items/7R5QERRU"],"itemData":{"id":869,"type":"article-journal","abstract":"To adapt their metabolism rapidly and constantly in response to environmental variations, bacteria often target the translation initiation process, during which the ribosome assembles on the mRNA. Here, we review different mechanisms of regulation mediated by cis-acting elements, sRNAs and proteins, showing, when possible, their intimate connection with the translational apparatus. Indeed the ribosome itself could play a direct role in several regulatory mechanisms. Different features of the regulatory signals (sequences, structures and their positions on the mRNA) are contributing to the large variety of regulatory mechanisms. Ribosome heterogeneity, variation of individual cells responses and the spatial and temporal organization of the translation process add more layers of complexity. This hampers to define manageable set of rules for bacterial translation initiation control.","collection-title":"Quality Control in Protein Synthesis","container-title":"Biochimie","DOI":"10.1016/j.biochi.2015.03.007","ISSN":"0300-9084","journalAbbreviation":"Biochimie","page":"18-29","source":"ScienceDirect","title":"Multiple ways to regulate translation initiation in bacteria: Mechanisms, regulatory circuits, dynamics","title-short":"Multiple ways to regulate translation initiation in bacteria","volume":"114","author":[{"family":"Duval","given":"Mélodie"},{"family":"Simonetti","given":"Angelita"},{"family":"Caldelari","given":"Isabelle"},{"family":"Marzi","given":"Stefano"}],"issued":{"date-parts":[["2015",7,1]]}}}],"schema":"https://github.com/citation-style-language/schema/raw/master/csl-citation.json"} </w:instrText>
      </w:r>
      <w:r w:rsidR="00B04D57">
        <w:fldChar w:fldCharType="separate"/>
      </w:r>
      <w:r w:rsidR="00B04D57">
        <w:rPr>
          <w:noProof/>
        </w:rPr>
        <w:t>(Duval et al., 2015)</w:t>
      </w:r>
      <w:r w:rsidR="00B04D57">
        <w:fldChar w:fldCharType="end"/>
      </w:r>
      <w:r w:rsidRPr="008A489A">
        <w:t>. A somewhat understudied aspect of gene regulation is how the composition of the ribosome contributes to gene expression. The complex is often viewed as a single entity, however there is evidence that alternate versions of the ribosome can exist in the same cell, suggesting that the ribosome is a key figure in post-transcriptional regulation</w:t>
      </w:r>
      <w:r w:rsidR="008A2C3C">
        <w:t xml:space="preserve"> </w:t>
      </w:r>
      <w:r w:rsidR="008A2C3C">
        <w:fldChar w:fldCharType="begin"/>
      </w:r>
      <w:r w:rsidR="008A2C3C">
        <w:instrText xml:space="preserve"> ADDIN ZOTERO_ITEM CSL_CITATION {"citationID":"jCMiKnDA","properties":{"formattedCitation":"(Byrgazov et al., 2013; Sauert et al., 2015)","plainCitation":"(Byrgazov et al., 2013; Sauert et al., 2015)","noteIndex":0},"citationItems":[{"id":1145,"uris":["http://zotero.org/users/9677915/items/DMBB2SIN"],"itemData":{"id":1145,"type":"article-journal","abstract":"</w:instrText>
      </w:r>
      <w:r w:rsidR="008A2C3C">
        <w:rPr>
          <w:rFonts w:ascii="Arial" w:hAnsi="Arial" w:cs="Arial"/>
        </w:rPr>
        <w:instrText>►</w:instrText>
      </w:r>
      <w:r w:rsidR="008A2C3C">
        <w:instrText xml:space="preserve"> Bacterial ribosomes have an intrinsic regulatory capacity. </w:instrText>
      </w:r>
      <w:r w:rsidR="008A2C3C">
        <w:rPr>
          <w:rFonts w:ascii="Arial" w:hAnsi="Arial" w:cs="Arial"/>
        </w:rPr>
        <w:instrText>►</w:instrText>
      </w:r>
      <w:r w:rsidR="008A2C3C">
        <w:instrText xml:space="preserve"> Ribosomes can vary in their protein and/or rRNA complement. </w:instrText>
      </w:r>
      <w:r w:rsidR="008A2C3C">
        <w:rPr>
          <w:rFonts w:ascii="Arial" w:hAnsi="Arial" w:cs="Arial"/>
        </w:rPr>
        <w:instrText>►</w:instrText>
      </w:r>
      <w:r w:rsidR="008A2C3C">
        <w:instrText xml:space="preserve"> Variations in rRNA and r-protein modifications likewise could lead to heterogeneity. </w:instrText>
      </w:r>
      <w:r w:rsidR="008A2C3C">
        <w:rPr>
          <w:rFonts w:ascii="Arial" w:hAnsi="Arial" w:cs="Arial"/>
        </w:rPr>
        <w:instrText>►</w:instrText>
      </w:r>
      <w:r w:rsidR="008A2C3C">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rsidR="008A2C3C">
        <w:fldChar w:fldCharType="separate"/>
      </w:r>
      <w:r w:rsidR="008A2C3C">
        <w:rPr>
          <w:noProof/>
        </w:rPr>
        <w:t>(Byrgazov et al., 2013; Sauert et al., 2015)</w:t>
      </w:r>
      <w:r w:rsidR="008A2C3C">
        <w:fldChar w:fldCharType="end"/>
      </w:r>
      <w:r>
        <w:t>.</w:t>
      </w:r>
    </w:p>
    <w:p w14:paraId="5E7633B2" w14:textId="65592063" w:rsidR="007C1748" w:rsidRDefault="001401FB" w:rsidP="00B924C5">
      <w:pPr>
        <w:ind w:firstLine="720"/>
        <w:contextualSpacing/>
      </w:pPr>
      <w:r>
        <w:t>There are multiple sources of</w:t>
      </w:r>
      <w:r w:rsidR="001E67F4">
        <w:t xml:space="preserve"> ribosomal</w:t>
      </w:r>
      <w:r>
        <w:t xml:space="preserve"> heterogeneity such as stoichiometry of r-proteins, modification of rRNA or r-proteins, and multiple homologs of r-proteins</w:t>
      </w:r>
      <w:r w:rsidR="008A2C3C">
        <w:t xml:space="preserve"> </w:t>
      </w:r>
      <w:r w:rsidR="008A2C3C">
        <w:fldChar w:fldCharType="begin"/>
      </w:r>
      <w:r w:rsidR="008A2C3C">
        <w:instrText xml:space="preserve"> ADDIN ZOTERO_ITEM CSL_CITATION {"citationID":"UQJuLbzF","properties":{"formattedCitation":"(Sauert et al., 2015)","plainCitation":"(Sauert et al., 2015)","noteIndex":0},"citationItems":[{"id":922,"uris":["http://zotero.org/users/9677915/items/HMSRZ5GW"],"itemData":{"id":922,"type":"article-journal","abstract":"In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rsidR="008A2C3C">
        <w:fldChar w:fldCharType="separate"/>
      </w:r>
      <w:r w:rsidR="008A2C3C">
        <w:rPr>
          <w:noProof/>
        </w:rPr>
        <w:t>(Sauert et al., 2015)</w:t>
      </w:r>
      <w:r w:rsidR="008A2C3C">
        <w:fldChar w:fldCharType="end"/>
      </w:r>
      <w:r>
        <w:t xml:space="preserve">. </w:t>
      </w:r>
      <w:r w:rsidR="001F3A73">
        <w:t xml:space="preserve">Recent work in organisms such as </w:t>
      </w:r>
      <w:r w:rsidR="00982C0E">
        <w:rPr>
          <w:i/>
          <w:iCs/>
        </w:rPr>
        <w:t>Mycobacterium smegmatis</w:t>
      </w:r>
      <w:r w:rsidR="001F3A73">
        <w:t xml:space="preserve"> and </w:t>
      </w:r>
      <w:r w:rsidR="001F3A73" w:rsidRPr="001F3A73">
        <w:rPr>
          <w:i/>
          <w:iCs/>
        </w:rPr>
        <w:t>Bacillus subtilis</w:t>
      </w:r>
      <w:r w:rsidR="001F3A73">
        <w:t xml:space="preserve"> demonstrates that ribosomes with various compositions due to multiple version</w:t>
      </w:r>
      <w:r w:rsidR="00C93EAD">
        <w:t>s</w:t>
      </w:r>
      <w:r w:rsidR="001F3A73">
        <w:t xml:space="preserve"> of certain r-proteins result in different phenotype</w:t>
      </w:r>
      <w:r w:rsidR="00B04D57">
        <w:t xml:space="preserve"> in the context of survival in a low zinc </w:t>
      </w:r>
      <w:proofErr w:type="spellStart"/>
      <w:r w:rsidR="00B04D57">
        <w:t>environement</w:t>
      </w:r>
      <w:proofErr w:type="spellEnd"/>
      <w:r w:rsidR="00B04D57">
        <w:t xml:space="preserve"> </w:t>
      </w:r>
      <w:r w:rsidR="00B04D57">
        <w:fldChar w:fldCharType="begin"/>
      </w:r>
      <w:r w:rsidR="00B04D57">
        <w:instrText xml:space="preserve"> ADDIN ZOTERO_ITEM CSL_CITATION {"citationID":"lhDtni4Q","properties":{"formattedCitation":"(Dow &amp; Prisic, 2018; Gabriel &amp; Helmann, 2009)","plainCitation":"(Dow &amp; Prisic, 2018; Gabriel &amp; Helmann, 2009)","noteIndex":0},"citationItems":[{"id":1156,"uris":["http://zotero.org/users/9677915/items/9VR5A3XP"],"itemData":{"id":1156,"type":"article-journal","abstract":"Zinc is an essential micronutrient required for proper structure and function of many proteins. Bacteria regularly encounter zinc depletion and have evolved diverse mechanisms to continue growth when zinc is limited, including the expression of zinc-independent paralogs of zinc-binding proteins. Mycobacteria have a conserved operon encoding four zinc-independent alternative ribosomal proteins (AltRPs) that are expressed when zinc is depleted. It is unknown if mycobacterial AltRPs replace their primary paralogs in the ribosome and maintain protein synthesis under zinc-limited conditions, and if such replacements contribute to their physiology. This study shows that AltRPs from Mycobacterium smegmatis are essential for growth when zinc ion is scarce. Specifically, the deletion mutant of this operon (ΔaltRP) is unable to grow in media containing a high-affinity zinc chelator, while growth of the wild type strain is unaffected under the same conditions. However, when zinc is gradually depleted during growth in zinc-limited medium, the ΔaltRP mutant maintains the same growth rate as seen for the wild type strain. In contrast to M. smegmatis grown with sufficient zinc supplementation that forms shorter cells when transitioning from logarithmic to stationary phase, M. smegmatis deficient for zinc elongates after the expression of AltRPs in late logarithmic phase. These zinc-depleted bacteria also exhibit a remarkable morphology characterized by a condensed chromosome, increased number of polyphosphate granules, and distinct appearance of lipid bodies and the cell wall compared to the zinc-replete cells. However, the ΔaltRP cells fail to elongate and transition into the zinc-limited morphotype, resembling the wild type zinc-replete bacteria instead. Therefore, the altRP operon in M. smegmatis has a vital role in continuation of growth when zinc is scarce and in triggering specific morphogenesis during the adaptation to zinc limitation, suggesting that AltRPs can functionally replace their zinc-dependent paralogs, but also contribute to mycobacterial physiology in a unique way.","container-title":"PLOS ONE","DOI":"10.1371/journal.pone.0196300","ISSN":"1932-6203","issue":"4","journalAbbreviation":"PLOS ONE","language":"en","note":"publisher: Public Library of Science","page":"e0196300","source":"PLoS Journals","title":"Alternative ribosomal proteins are required for growth and morphogenesis of Mycobacterium smegmatis under zinc limiting conditions","volume":"13","author":[{"family":"Dow","given":"Allexa"},{"family":"Prisic","given":"Sladjana"}],"issued":{"date-parts":[["2018",4,23]]}}},{"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rsidR="00B04D57">
        <w:fldChar w:fldCharType="separate"/>
      </w:r>
      <w:r w:rsidR="00B04D57">
        <w:rPr>
          <w:noProof/>
        </w:rPr>
        <w:t>(Dow &amp; Prisic, 2018; Gabriel &amp; Helmann, 2009)</w:t>
      </w:r>
      <w:r w:rsidR="00B04D57">
        <w:fldChar w:fldCharType="end"/>
      </w:r>
      <w:r w:rsidR="001F3A73">
        <w:t>. In</w:t>
      </w:r>
      <w:r w:rsidR="00B04D57" w:rsidRPr="00B04D57">
        <w:rPr>
          <w:i/>
          <w:iCs/>
        </w:rPr>
        <w:t xml:space="preserve"> </w:t>
      </w:r>
      <w:r w:rsidR="00B04D57" w:rsidRPr="001F3A73">
        <w:rPr>
          <w:i/>
          <w:iCs/>
        </w:rPr>
        <w:t>Bacillus subtilis</w:t>
      </w:r>
      <w:r w:rsidR="005953BC">
        <w:t xml:space="preserve"> , </w:t>
      </w:r>
      <w:r w:rsidR="001F3A73">
        <w:t xml:space="preserve">a duplication of </w:t>
      </w:r>
      <w:r w:rsidR="00B04D57">
        <w:t xml:space="preserve">two </w:t>
      </w:r>
      <w:r w:rsidR="001F3A73">
        <w:t xml:space="preserve">genes that encode r-proteins leads to </w:t>
      </w:r>
      <w:r w:rsidR="00C93EAD">
        <w:t>two</w:t>
      </w:r>
      <w:r w:rsidR="001F3A73">
        <w:t xml:space="preserve"> different paralogs; one </w:t>
      </w:r>
      <w:r>
        <w:t>which can coordinate zinc and the another which cannot, perhaps as a stress response to a limit of zinc in the environment</w:t>
      </w:r>
      <w:r w:rsidR="00984EE7">
        <w:t xml:space="preserve"> </w:t>
      </w:r>
      <w:r w:rsidR="00984EE7">
        <w:fldChar w:fldCharType="begin"/>
      </w:r>
      <w:r w:rsidR="00984EE7">
        <w:instrText xml:space="preserve"> ADDIN ZOTERO_ITEM CSL_CITATION {"citationID":"xT9WBWgq","properties":{"formattedCitation":"(Gabriel &amp; Helmann, 2009)","plainCitation":"(Gabriel &amp; Helmann, 2009)","noteIndex":0},"citationItems":[{"id":1153,"uris":["http://zotero.org/users/9677915/items/XVA9VTBL"],"itemData":{"id":1153,"type":"article-journal","abstract":"Maintaining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rsidR="00984EE7">
        <w:fldChar w:fldCharType="separate"/>
      </w:r>
      <w:r w:rsidR="00984EE7">
        <w:rPr>
          <w:noProof/>
        </w:rPr>
        <w:t>(Gabriel &amp; Helmann, 2009)</w:t>
      </w:r>
      <w:r w:rsidR="00984EE7">
        <w:fldChar w:fldCharType="end"/>
      </w:r>
      <w:r>
        <w:t>.</w:t>
      </w:r>
      <w:r w:rsidR="00B04D57">
        <w:t xml:space="preserve"> In </w:t>
      </w:r>
      <w:r w:rsidR="00B04D57">
        <w:rPr>
          <w:i/>
          <w:iCs/>
        </w:rPr>
        <w:t>Mycobacterium smegmatis</w:t>
      </w:r>
      <w:r w:rsidR="00B04D57">
        <w:rPr>
          <w:i/>
          <w:iCs/>
        </w:rPr>
        <w:t xml:space="preserve">, </w:t>
      </w:r>
      <w:r w:rsidR="00B04D57">
        <w:t xml:space="preserve">four zinc-independent alternative r-proteins are expressed when zinc is depleted </w:t>
      </w:r>
      <w:r w:rsidR="00B04D57">
        <w:fldChar w:fldCharType="begin"/>
      </w:r>
      <w:r w:rsidR="00B04D57">
        <w:instrText xml:space="preserve"> ADDIN ZOTERO_ITEM CSL_CITATION {"citationID":"HeAmrh5a","properties":{"formattedCitation":"(Dow &amp; Prisic, 2018)","plainCitation":"(Dow &amp; Prisic, 2018)","noteIndex":0},"citationItems":[{"id":1156,"uris":["http://zotero.org/users/9677915/items/9VR5A3XP"],"itemData":{"id":1156,"type":"article-journal","abstract":"Zinc is an essential micronutrient required for proper structure and function of many proteins. Bacteria regularly encounter zinc depletion and have evolved diverse mechanisms to continue growth when zinc is limited, including the expression of zinc-independent paralogs of zinc-binding proteins. Mycobacteria have a conserved operon encoding four zinc-independent alternative ribosomal proteins (AltRPs) that are expressed when zinc is depleted. It is unknown if mycobacterial AltRPs replace their primary paralogs in the ribosome and maintain protein synthesis under zinc-limited conditions, and if such replacements contribute to their physiology. This study shows that AltRPs from Mycobacterium smegmatis are essential for growth when zinc ion is scarce. Specifically, the deletion mutant of this operon (ΔaltRP) is unable to grow in media containing a high-affinity zinc chelator, while growth of the wild type strain is unaffected under the same conditions. However, when zinc is gradually depleted during growth in zinc-limited medium, the ΔaltRP mutant maintains the same growth rate as seen for the wild type strain. In contrast to M. smegmatis grown with sufficient zinc supplementation that forms shorter cells when transitioning from logarithmic to stationary phase, M. smegmatis deficient for zinc elongates after the expression of AltRPs in late logarithmic phase. These zinc-depleted bacteria also exhibit a remarkable morphology characterized by a condensed chromosome, increased number of polyphosphate granules, and distinct appearance of lipid bodies and the cell wall compared to the zinc-replete cells. However, the ΔaltRP cells fail to elongate and transition into the zinc-limited morphotype, resembling the wild type zinc-replete bacteria instead. Therefore, the altRP operon in M. smegmatis has a vital role in continuation of growth when zinc is scarce and in triggering specific morphogenesis during the adaptation to zinc limitation, suggesting that AltRPs can functionally replace their zinc-dependent paralogs, but also contribute to mycobacterial physiology in a unique way.","container-title":"PLOS ONE","DOI":"10.1371/journal.pone.0196300","ISSN":"1932-6203","issue":"4","journalAbbreviation":"PLOS ONE","language":"en","note":"publisher: Public Library of Science","page":"e0196300","source":"PLoS Journals","title":"Alternative ribosomal proteins are required for growth and morphogenesis of Mycobacterium smegmatis under zinc limiting conditions","volume":"13","author":[{"family":"Dow","given":"Allexa"},{"family":"Prisic","given":"Sladjana"}],"issued":{"date-parts":[["2018",4,23]]}}}],"schema":"https://github.com/citation-style-language/schema/raw/master/csl-citation.json"} </w:instrText>
      </w:r>
      <w:r w:rsidR="00B04D57">
        <w:fldChar w:fldCharType="separate"/>
      </w:r>
      <w:r w:rsidR="00B04D57">
        <w:rPr>
          <w:noProof/>
        </w:rPr>
        <w:t>(Dow &amp; Prisic, 2018)</w:t>
      </w:r>
      <w:r w:rsidR="00B04D57">
        <w:fldChar w:fldCharType="end"/>
      </w:r>
      <w:r w:rsidR="00E93530">
        <w:t xml:space="preserve"> </w:t>
      </w:r>
      <w:r w:rsidR="00B924C5">
        <w:t>T</w:t>
      </w:r>
      <w:r w:rsidR="00E93530">
        <w:t xml:space="preserve">he molecular mechanism of how protein synthesis is affected by the coordination of zinc has yet to be determined. Whether </w:t>
      </w:r>
      <w:r w:rsidR="00E93530">
        <w:lastRenderedPageBreak/>
        <w:t>or not ribosomal heterogeneity due to homologous r-proteins directly affects translation has yet to be demonstrated.</w:t>
      </w:r>
    </w:p>
    <w:p w14:paraId="016F65C5" w14:textId="77777777" w:rsidR="00B924C5" w:rsidRDefault="00B924C5" w:rsidP="00B924C5">
      <w:pPr>
        <w:contextualSpacing/>
        <w:rPr>
          <w:u w:val="single"/>
        </w:rPr>
      </w:pPr>
    </w:p>
    <w:p w14:paraId="2D14FDEC" w14:textId="77777777" w:rsidR="00EF6056" w:rsidRDefault="00EF6056" w:rsidP="00B924C5">
      <w:pPr>
        <w:contextualSpacing/>
        <w:rPr>
          <w:u w:val="single"/>
        </w:rPr>
      </w:pPr>
    </w:p>
    <w:p w14:paraId="091F7DE1" w14:textId="195E1D5B" w:rsidR="007C1748" w:rsidRPr="00B924C5" w:rsidRDefault="007C1748" w:rsidP="00B924C5">
      <w:pPr>
        <w:contextualSpacing/>
        <w:rPr>
          <w:u w:val="single"/>
        </w:rPr>
      </w:pPr>
      <w:r w:rsidRPr="00B924C5">
        <w:rPr>
          <w:u w:val="single"/>
        </w:rPr>
        <w:t xml:space="preserve">Role of bS21 in </w:t>
      </w:r>
      <w:r w:rsidR="0053769C">
        <w:rPr>
          <w:u w:val="single"/>
        </w:rPr>
        <w:t>translation</w:t>
      </w:r>
      <w:r w:rsidRPr="00B924C5">
        <w:rPr>
          <w:u w:val="single"/>
        </w:rPr>
        <w:t>:</w:t>
      </w:r>
    </w:p>
    <w:p w14:paraId="52F4581F" w14:textId="717EAE7C" w:rsidR="0096330A" w:rsidRDefault="00067FF2" w:rsidP="0096330A">
      <w:pPr>
        <w:ind w:firstLine="720"/>
        <w:contextualSpacing/>
      </w:pPr>
      <w:r>
        <w:t>bS21 is a small</w:t>
      </w:r>
      <w:r w:rsidR="00E93530">
        <w:t xml:space="preserve"> 30S subunit ribosomal prote</w:t>
      </w:r>
      <w:r>
        <w:t xml:space="preserve">in </w:t>
      </w:r>
      <w:r w:rsidR="00204520">
        <w:t xml:space="preserve">encoded by the gene </w:t>
      </w:r>
      <w:r w:rsidR="00204520" w:rsidRPr="00204520">
        <w:rPr>
          <w:i/>
          <w:iCs/>
        </w:rPr>
        <w:t>rpsU</w:t>
      </w:r>
      <w:r w:rsidR="00204520">
        <w:t xml:space="preserve"> </w:t>
      </w:r>
      <w:r>
        <w:t>that is</w:t>
      </w:r>
      <w:r w:rsidR="00E93530">
        <w:t xml:space="preserve"> involved in translation initiation</w:t>
      </w:r>
      <w:r w:rsidR="008A2C3C">
        <w:t xml:space="preserve"> </w:t>
      </w:r>
      <w:r w:rsidR="008A2C3C">
        <w:fldChar w:fldCharType="begin"/>
      </w:r>
      <w:r w:rsidR="008A2C3C">
        <w:instrText xml:space="preserve"> ADDIN ZOTERO_ITEM CSL_CITATION {"citationID":"HOSb5zn4","properties":{"formattedCitation":"(Van Duin &amp; Wijnands, 1981)","plainCitation":"(Van Duin &amp; Wijnands, 1981)","noteIndex":0},"citationItems":[{"id":928,"uris":["http://zotero.org/users/9677915/items/23KRGX3D"],"itemData":{"id":928,"type":"article-journal","abstract":"The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rsidR="008A2C3C">
        <w:fldChar w:fldCharType="separate"/>
      </w:r>
      <w:r w:rsidR="008A2C3C">
        <w:rPr>
          <w:noProof/>
        </w:rPr>
        <w:t>(Van Duin &amp; Wijnands, 1981)</w:t>
      </w:r>
      <w:r w:rsidR="008A2C3C">
        <w:fldChar w:fldCharType="end"/>
      </w:r>
      <w:r w:rsidR="00E93530">
        <w:t xml:space="preserve">. </w:t>
      </w:r>
      <w:r w:rsidR="00A6115F">
        <w:t xml:space="preserve">Although the precise mechanism of its involvement in translation is unclear, its positioning near the mRNA exit channel suggests </w:t>
      </w:r>
      <w:r w:rsidR="00ED286C">
        <w:t>that bS21</w:t>
      </w:r>
      <w:r w:rsidR="00A6115F">
        <w:t xml:space="preserve"> can interact with the 5’ UTR of mRNAs and contact the anti-Shine</w:t>
      </w:r>
      <w:r w:rsidR="00317C65">
        <w:t>-</w:t>
      </w:r>
      <w:r w:rsidR="00A6115F">
        <w:t>D</w:t>
      </w:r>
      <w:r w:rsidR="00F47B1A">
        <w:t>a</w:t>
      </w:r>
      <w:r w:rsidR="00A6115F">
        <w:t>lgarno sequence of 16S rRNA</w:t>
      </w:r>
      <w:r w:rsidR="00FA14EA">
        <w:t xml:space="preserve"> </w:t>
      </w:r>
      <w:r w:rsidR="00FA14EA">
        <w:fldChar w:fldCharType="begin"/>
      </w:r>
      <w:r w:rsidR="00FA14EA">
        <w:instrText xml:space="preserve"> ADDIN ZOTERO_ITEM CSL_CITATION {"citationID":"NWcLD0Kb","properties":{"formattedCitation":"(Berk et al., 2006)","plainCitation":"(Berk et al., 2006)","noteIndex":0},"citationItems":[{"id":884,"uris":["http://zotero.org/users/9677915/items/C2QFFE49"],"itemData":{"id":884,"type":"article-journal","abstract":"Protein synthesis requires the accurate positioning of mRNA and tRNA in the peptidyl-tRNA site of the ribosome. Here we describe x-ray crystal structures of the intact bacterial ribosome from Escherichia coli in a complex with mRNA and the anticodon stem-loop of P-site tRNA. At 3.5-Å resolution, these structures reveal rearrangements in the intact ribosome that clamp P-site tRNA and mRNA on the small ribosomal subunit. Binding of the anticodon stem-loop of P-site tRNA to the ribosome is sufficient to lock the head of the small ribosomal subunit in a single conformation, thereby preventing movement of mRNA and tRNA before mRNA decoding.","container-title":"Proceedings of the National Academy of Sciences of the United States of America","DOI":"10.1073/pnas.0607541103","ISSN":"0027-8424","issue":"43","journalAbbreviation":"Proc Natl Acad Sci U S A","note":"PMID: 17038497\nPMCID: PMC1635088","page":"15830-15834","source":"PubMed Central","title":"Structural basis for mRNA and tRNA positioning on the ribosome","volume":"103","author":[{"family":"Berk","given":"Veysel"},{"family":"Zhang","given":"Wen"},{"family":"Pai","given":"Raj D."},{"family":"Cate","given":"Jamie H. D."}],"issued":{"date-parts":[["2006",10,24]]}}}],"schema":"https://github.com/citation-style-language/schema/raw/master/csl-citation.json"} </w:instrText>
      </w:r>
      <w:r w:rsidR="00FA14EA">
        <w:fldChar w:fldCharType="separate"/>
      </w:r>
      <w:r w:rsidR="00FA14EA">
        <w:rPr>
          <w:noProof/>
        </w:rPr>
        <w:t>(Berk et al., 2006)</w:t>
      </w:r>
      <w:r w:rsidR="00FA14EA">
        <w:fldChar w:fldCharType="end"/>
      </w:r>
      <w:r w:rsidR="00A6115F">
        <w:t xml:space="preserve">. </w:t>
      </w:r>
      <w:r w:rsidR="00B70F65">
        <w:t>Many</w:t>
      </w:r>
      <w:r w:rsidR="00A6115F">
        <w:t xml:space="preserve"> species lack bS21</w:t>
      </w:r>
      <w:r w:rsidR="00B70F65">
        <w:t xml:space="preserve">, therefore it is not considered essential for function or assembly, however its amino acid sequence is highly conserved. </w:t>
      </w:r>
      <w:r w:rsidR="00204520">
        <w:t xml:space="preserve">Species that do harbor it show a variety of </w:t>
      </w:r>
      <w:r w:rsidR="0053769C">
        <w:t>phenotypes</w:t>
      </w:r>
      <w:r w:rsidR="00204520">
        <w:t xml:space="preserve">. </w:t>
      </w:r>
      <w:r w:rsidR="00F47B1A" w:rsidRPr="00F47B1A">
        <w:t xml:space="preserve">In </w:t>
      </w:r>
      <w:r w:rsidR="00F47B1A">
        <w:rPr>
          <w:i/>
          <w:iCs/>
        </w:rPr>
        <w:t>S.</w:t>
      </w:r>
      <w:r w:rsidR="0053769C">
        <w:rPr>
          <w:i/>
          <w:iCs/>
        </w:rPr>
        <w:t xml:space="preserve"> </w:t>
      </w:r>
      <w:r w:rsidR="00F47B1A">
        <w:rPr>
          <w:i/>
          <w:iCs/>
        </w:rPr>
        <w:t>aureus</w:t>
      </w:r>
      <w:r w:rsidR="00F47B1A" w:rsidRPr="00F47B1A">
        <w:t xml:space="preserve">, </w:t>
      </w:r>
      <w:r w:rsidR="00B924C5">
        <w:t>mutations in</w:t>
      </w:r>
      <w:r w:rsidR="00F47B1A" w:rsidRPr="00F47B1A">
        <w:t xml:space="preserve"> bS21 show altered susceptibility to antibiotics</w:t>
      </w:r>
      <w:r w:rsidR="008A2C3C">
        <w:t xml:space="preserve"> </w:t>
      </w:r>
      <w:r w:rsidR="008A2C3C">
        <w:fldChar w:fldCharType="begin"/>
      </w:r>
      <w:r w:rsidR="008A2C3C">
        <w:instrText xml:space="preserve"> ADDIN ZOTERO_ITEM CSL_CITATION {"citationID":"sMsvYmdP","properties":{"formattedCitation":"(Basco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rsidR="008A2C3C">
        <w:fldChar w:fldCharType="separate"/>
      </w:r>
      <w:r w:rsidR="008A2C3C">
        <w:rPr>
          <w:noProof/>
        </w:rPr>
        <w:t>(Basco et al., 2019; Friedman et al., 2006)</w:t>
      </w:r>
      <w:r w:rsidR="008A2C3C">
        <w:fldChar w:fldCharType="end"/>
      </w:r>
      <w:r w:rsidR="00F47B1A">
        <w:t xml:space="preserve">. </w:t>
      </w:r>
      <w:r w:rsidR="00204520">
        <w:t>In</w:t>
      </w:r>
      <w:r w:rsidR="00F47B1A">
        <w:t xml:space="preserve"> </w:t>
      </w:r>
      <w:r w:rsidR="00F47B1A" w:rsidRPr="00241B81">
        <w:rPr>
          <w:i/>
          <w:iCs/>
        </w:rPr>
        <w:t>Bacillus subtilis</w:t>
      </w:r>
      <w:r w:rsidR="00F47B1A">
        <w:rPr>
          <w:i/>
          <w:iCs/>
        </w:rPr>
        <w:t>,</w:t>
      </w:r>
      <w:r w:rsidR="00204520">
        <w:t xml:space="preserve"> homologs of bS21 show defects in biofilm formation</w:t>
      </w:r>
      <w:r w:rsidR="00982C0E">
        <w:t xml:space="preserve"> </w:t>
      </w:r>
      <w:r w:rsidR="00982C0E">
        <w:fldChar w:fldCharType="begin"/>
      </w:r>
      <w:r w:rsidR="00982C0E">
        <w:instrText xml:space="preserve"> ADDIN ZOTERO_ITEM CSL_CITATION {"citationID":"XSLy27q8","properties":{"formattedCitation":"(Takada et al., 2014)","plainCitation":"(Takada et al., 2014)","noteIndex":0},"citationItems":[{"id":1150,"uris":["http://zotero.org/users/9677915/items/AXLFTE9Q"],"itemData":{"id":1150,"type":"article-journal","abstract":"Abstract\n            Bacillus subtilis differentiates into various cellular states in response to environmental changes. It exists in two states during the exponential growth phase: motile cells and connected chains of sessile cells. Here, we identified new regulators of cell motility and chaining, the ribosomal proteins S21 (rpsU) and S11 (rpsK). Their mutants showed impaired cell motility (observed in a laboratory strain) and robust biofilm formation (observed in an undomesticated strain). The two major operons for biofilm formation, tapA-sipW-tasA and epsA-O, were strongly expressed in the rpsU mutant, whereas the flagellin-encoding hag gene and other SigD-dependent motility regulons were not. Genetic analysis revealed that the mutation of remA, the transcriptional activator of the eps operon, is epistatic to that of rpsU, whereas the mutation of antagonistic regulators of SinR is not. Our studies demonstrate that S11 and S21 participate in the regulation of bistability via the RemA/RemB pathway.","container-title":"Bioscience, Biotechnology, and Biochemistry","DOI":"10.1080/09168451.2014.915729","ISSN":"0916-8451, 1347-6947","issue":"5","language":"en","page":"898-907","source":"DOI.org (Crossref)","title":"Cell motility and biofilm formation in &lt;i&gt;Bacillus subtilis&lt;/i&gt; are affected by the ribosomal proteins, S11 and S21","volume":"78","author":[{"family":"Takada","given":"Hiraku"},{"family":"Morita","given":"Masato"},{"family":"Shiwa","given":"Yuh"},{"family":"Sugimoto","given":"Ryoma"},{"family":"Suzuki","given":"Shota"},{"family":"Kawamura","given":"Fujio"},{"family":"Yoshikawa","given":"Hirofumi"}],"issued":{"date-parts":[["2014",5,4]]}}}],"schema":"https://github.com/citation-style-language/schema/raw/master/csl-citation.json"} </w:instrText>
      </w:r>
      <w:r w:rsidR="00982C0E">
        <w:fldChar w:fldCharType="separate"/>
      </w:r>
      <w:r w:rsidR="00982C0E">
        <w:rPr>
          <w:noProof/>
        </w:rPr>
        <w:t>(Takada et al., 2014)</w:t>
      </w:r>
      <w:r w:rsidR="00982C0E">
        <w:fldChar w:fldCharType="end"/>
      </w:r>
      <w:r w:rsidR="00204520">
        <w:t xml:space="preserve">, while </w:t>
      </w:r>
      <w:r w:rsidR="00204520" w:rsidRPr="00241B81">
        <w:rPr>
          <w:i/>
          <w:iCs/>
        </w:rPr>
        <w:t>Listeria monocytogenes</w:t>
      </w:r>
      <w:r w:rsidR="00204520">
        <w:rPr>
          <w:i/>
          <w:iCs/>
        </w:rPr>
        <w:t xml:space="preserve"> </w:t>
      </w:r>
      <w:r w:rsidR="00204520">
        <w:t>can withstand increased acid stress when bS21 is mutated</w:t>
      </w:r>
      <w:r w:rsidR="008A2C3C">
        <w:t xml:space="preserve"> </w:t>
      </w:r>
      <w:r w:rsidR="008A2C3C">
        <w:fldChar w:fldCharType="begin"/>
      </w:r>
      <w:r w:rsidR="008A2C3C">
        <w:instrText xml:space="preserve"> ADDIN ZOTERO_ITEM CSL_CITATION {"citationID":"S1uoudbh","properties":{"formattedCitation":"(Metselaar et al., 2015)","plainCitation":"(Metselaar et al., 2015)","noteIndex":0},"citationItems":[{"id":1147,"uris":["http://zotero.org/users/9677915/items/69ZPW2S6"],"itemData":{"id":1147,"type":"article-journal","abstract":"The dynamic response of microorganisms to environmental conditions depends on the behavior of individual cells within the population. Adverse environments can select for stable stress resistant subpopulations. In this study, we aimed to get more insight in the diversity within Listeria monocytogenes LO28 populations, and the genetic basis for the increased resistance of stable resistant fractions isolated after acid exposure. Phenotypic cluster analysis of 23 variants resulted in three clusters and four individual variants and revealed multiple-stress resistance, with both unique and overlapping features related to stress resistance, growth, motility, biofilm formation, and virulence indicators. A higher glutamate decarboxylase activity correlated with increased acid resistance. Whole genome sequencing revealed mutations in rpsU, encoding ribosomal protein S21 in the largest phenotypic cluster, while mutations in ctsR, which were previously shown to be responsible for increased resistance of heat and high hydrostatic pressure resistant variants, were not found in the acid resistant variants. This underlined that large population diversity exists within one L. monocytogenes strain and that different adverse conditions drive selection for different variants. The finding that acid stress selects for rpsU variants provides potential insights in the mechanisms underlying population diversity of L. monocytogenes.","container-title":"Frontiers in Microbiology","DOI":"10.3389/fmicb.2015.00422","ISSN":"1664-302X","journalAbbreviation":"Front Microbiol","note":"PMID: 26005439\nPMCID: PMC4424878","page":"422","source":"PubMed Central","title":"Diversity of acid stress resistant variants of Listeria monocytogenes and the potential role of ribosomal protein S21 encoded by rpsU","volume":"6","author":[{"family":"Metselaar","given":"Karin I."},{"family":"Besten","given":"Heidy M. W.","non-dropping-particle":"den"},{"family":"Boekhorst","given":"Jos"},{"family":"Hijum","given":"Sacha A. F. T.","non-dropping-particle":"van"},{"family":"Zwietering","given":"Marcel H."},{"family":"Abee","given":"Tjakko"}],"issued":{"date-parts":[["2015",5,8]]}}}],"schema":"https://github.com/citation-style-language/schema/raw/master/csl-citation.json"} </w:instrText>
      </w:r>
      <w:r w:rsidR="008A2C3C">
        <w:fldChar w:fldCharType="separate"/>
      </w:r>
      <w:r w:rsidR="008A2C3C">
        <w:rPr>
          <w:noProof/>
        </w:rPr>
        <w:t>(Metselaar et al., 2015)</w:t>
      </w:r>
      <w:r w:rsidR="008A2C3C">
        <w:fldChar w:fldCharType="end"/>
      </w:r>
      <w:r w:rsidR="00204520">
        <w:t xml:space="preserve">. </w:t>
      </w:r>
      <w:r w:rsidR="001E67F4">
        <w:t xml:space="preserve">In </w:t>
      </w:r>
      <w:r w:rsidR="001E67F4" w:rsidRPr="001E67F4">
        <w:rPr>
          <w:i/>
          <w:iCs/>
        </w:rPr>
        <w:t>Flavobacterium johnsoniae</w:t>
      </w:r>
      <w:r w:rsidR="001E67F4">
        <w:t>, ribosomes that lack bS21</w:t>
      </w:r>
      <w:r w:rsidR="000877B7">
        <w:t xml:space="preserve"> increas</w:t>
      </w:r>
      <w:r w:rsidR="0096330A">
        <w:t>e</w:t>
      </w:r>
      <w:r w:rsidR="000877B7">
        <w:t xml:space="preserve"> the initiation of </w:t>
      </w:r>
      <w:r w:rsidR="000877B7" w:rsidRPr="000877B7">
        <w:rPr>
          <w:i/>
          <w:iCs/>
        </w:rPr>
        <w:t>rpsU</w:t>
      </w:r>
      <w:r w:rsidR="000877B7">
        <w:t xml:space="preserve"> mRNA</w:t>
      </w:r>
      <w:r w:rsidR="0096330A">
        <w:t xml:space="preserve"> translation</w:t>
      </w:r>
      <w:r w:rsidR="00622984">
        <w:t xml:space="preserve"> </w:t>
      </w:r>
      <w:r w:rsidR="00622984">
        <w:fldChar w:fldCharType="begin"/>
      </w:r>
      <w:r w:rsidR="00622984">
        <w:instrText xml:space="preserve"> ADDIN ZOTERO_ITEM CSL_CITATION {"citationID":"tyyGt4EV","properties":{"formattedCitation":"(McNutt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rsidR="00622984">
        <w:fldChar w:fldCharType="separate"/>
      </w:r>
      <w:r w:rsidR="00622984">
        <w:rPr>
          <w:noProof/>
        </w:rPr>
        <w:t>(McNutt et al., 2023)</w:t>
      </w:r>
      <w:r w:rsidR="00622984">
        <w:fldChar w:fldCharType="end"/>
      </w:r>
      <w:r w:rsidR="00204520">
        <w:t>.</w:t>
      </w:r>
    </w:p>
    <w:p w14:paraId="7E59EADB" w14:textId="77777777" w:rsidR="00EF6056" w:rsidRDefault="00EF6056" w:rsidP="00EF6056">
      <w:pPr>
        <w:keepNext/>
        <w:contextualSpacing/>
      </w:pPr>
      <w:r>
        <w:rPr>
          <w:noProof/>
        </w:rPr>
        <w:drawing>
          <wp:inline distT="0" distB="0" distL="0" distR="0" wp14:anchorId="045E5FF7" wp14:editId="273E5CD0">
            <wp:extent cx="4744387" cy="1948950"/>
            <wp:effectExtent l="0" t="0" r="5715" b="0"/>
            <wp:docPr id="1384809906" name="Picture 1" descr="A close-up of a dn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9906" name="Picture 1" descr="A close-up of a dna struc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4387" cy="1948950"/>
                    </a:xfrm>
                    <a:prstGeom prst="rect">
                      <a:avLst/>
                    </a:prstGeom>
                  </pic:spPr>
                </pic:pic>
              </a:graphicData>
            </a:graphic>
          </wp:inline>
        </w:drawing>
      </w:r>
    </w:p>
    <w:p w14:paraId="0DCE3DC1" w14:textId="591CE15E" w:rsidR="00EF6056" w:rsidRDefault="00EF6056" w:rsidP="00EF6056">
      <w:pPr>
        <w:pStyle w:val="Caption"/>
      </w:pPr>
      <w:r>
        <w:t xml:space="preserve">Figure </w:t>
      </w:r>
      <w:fldSimple w:instr=" SEQ Figure \* ARABIC ">
        <w:r w:rsidR="00B16F9C">
          <w:rPr>
            <w:noProof/>
          </w:rPr>
          <w:t>1</w:t>
        </w:r>
      </w:fldSimple>
      <w:r>
        <w:t xml:space="preserve"> Left: 30S subunit of E. coli highlighting bS21 in red. Right: close-up of bS21 focuses on its proximity to the mRNA exit channel</w:t>
      </w:r>
    </w:p>
    <w:p w14:paraId="37001EAA" w14:textId="77777777" w:rsidR="0096330A" w:rsidRDefault="0096330A" w:rsidP="0096330A">
      <w:pPr>
        <w:ind w:firstLine="720"/>
        <w:contextualSpacing/>
      </w:pPr>
    </w:p>
    <w:p w14:paraId="3B6C2DD1" w14:textId="3F4A96F0" w:rsidR="00C32209" w:rsidRDefault="0096330A" w:rsidP="00C32209">
      <w:pPr>
        <w:ind w:firstLine="720"/>
        <w:contextualSpacing/>
      </w:pPr>
      <w:r w:rsidRPr="0045354E">
        <w:rPr>
          <w:i/>
          <w:iCs/>
        </w:rPr>
        <w:t>Francisella tularensis</w:t>
      </w:r>
      <w:r>
        <w:t xml:space="preserve"> encodes three distinct homologs of bS21</w:t>
      </w:r>
      <w:r w:rsidR="008A2C3C">
        <w:t xml:space="preserve"> </w:t>
      </w:r>
      <w:r w:rsidR="008A2C3C">
        <w:fldChar w:fldCharType="begin"/>
      </w:r>
      <w:r w:rsidR="008A2C3C">
        <w:instrText xml:space="preserve"> ADDIN ZOTERO_ITEM CSL_CITATION {"citationID":"5y6bJdNh","properties":{"formattedCitation":"(Trautmann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fldChar w:fldCharType="separate"/>
      </w:r>
      <w:r w:rsidR="008A2C3C">
        <w:rPr>
          <w:noProof/>
        </w:rPr>
        <w:t>(Trautmann &amp; Ramsey, 2022)</w:t>
      </w:r>
      <w:r w:rsidR="008A2C3C">
        <w:fldChar w:fldCharType="end"/>
      </w:r>
      <w:r>
        <w:t>.  As one of last proteins to be incorporated into the ribosome</w:t>
      </w:r>
      <w:r w:rsidR="00FA14EA">
        <w:t xml:space="preserve"> </w:t>
      </w:r>
      <w:r w:rsidR="00FA14EA">
        <w:fldChar w:fldCharType="begin"/>
      </w:r>
      <w:r w:rsidR="00FA14EA">
        <w:instrText xml:space="preserve"> ADDIN ZOTERO_ITEM CSL_CITATION {"citationID":"A7iiG8ZT","properties":{"formattedCitation":"(Mizushima &amp; Nomura, 1970)","plainCitation":"(Mizushima &amp; Nomura, 1970)","noteIndex":0},"citationItems":[{"id":907,"uris":["http://zotero.org/users/9677915/items/XBCEMR6E"],"itemData":{"id":907,"type":"article-journal","abstract":"An assembly map of 30S ribosomal subunits has been constructed. The assembly reaction is sequential and cooperative. The map may reflect the topological relationships among ribosomal proteins in the ribosomal structure.","container-title":"Nature","DOI":"10.1038/2261214a0","ISSN":"1476-4687","issue":"5252","language":"en","license":"1970 Springer Nature Limited","note":"number: 5252\npublisher: Nature Publishing Group","page":"1214-1218","source":"www.nature.com","title":"Assembly Mapping of 30S Ribosomal Proteins from E. coli","volume":"226","author":[{"family":"Mizushima","given":"Shoji"},{"family":"Nomura","given":"Masayasu"}],"issued":{"date-parts":[["1970",6]]}}}],"schema":"https://github.com/citation-style-language/schema/raw/master/csl-citation.json"} </w:instrText>
      </w:r>
      <w:r w:rsidR="00FA14EA">
        <w:fldChar w:fldCharType="separate"/>
      </w:r>
      <w:r w:rsidR="00FA14EA">
        <w:rPr>
          <w:noProof/>
        </w:rPr>
        <w:t>(Mizushima &amp; Nomura, 1970)</w:t>
      </w:r>
      <w:r w:rsidR="00FA14EA">
        <w:fldChar w:fldCharType="end"/>
      </w:r>
      <w:r>
        <w:t>, bS21 is loosely associated and as such, there is the potential that different homologs of the protein can be swapped out</w:t>
      </w:r>
      <w:r w:rsidR="00FA14EA">
        <w:t xml:space="preserve"> </w:t>
      </w:r>
      <w:r w:rsidR="00FA14EA">
        <w:fldChar w:fldCharType="begin"/>
      </w:r>
      <w:r w:rsidR="00FA14EA">
        <w:instrText xml:space="preserve"> ADDIN ZOTERO_ITEM CSL_CITATION {"citationID":"lsEmcHuP","properties":{"formattedCitation":"(Robertson et al., n.d.)","plainCitation":"(Robertson et al., n.d.)","noteIndex":0},"citationItems":[{"id":1141,"uris":["http://zotero.org/users/9677915/items/5RLY39Z3"],"itemData":{"id":1141,"type":"article-journal","abstract":"The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S"}]}}],"schema":"https://github.com/citation-style-language/schema/raw/master/csl-citation.json"} </w:instrText>
      </w:r>
      <w:r w:rsidR="00FA14EA">
        <w:fldChar w:fldCharType="separate"/>
      </w:r>
      <w:r w:rsidR="00FA14EA">
        <w:rPr>
          <w:noProof/>
        </w:rPr>
        <w:t>(Robertson et al., n.d.)</w:t>
      </w:r>
      <w:r w:rsidR="00FA14EA">
        <w:fldChar w:fldCharType="end"/>
      </w:r>
      <w:r>
        <w:t xml:space="preserve">. Wild-type cells of </w:t>
      </w:r>
      <w:r w:rsidRPr="00CA306D">
        <w:rPr>
          <w:i/>
          <w:iCs/>
        </w:rPr>
        <w:t>F. tularensis</w:t>
      </w:r>
      <w:r>
        <w:t xml:space="preserve"> can incorporate all three homologs of bS21 into the ribosomes </w:t>
      </w:r>
      <w:r>
        <w:fldChar w:fldCharType="begin"/>
      </w:r>
      <w:r>
        <w:instrText xml:space="preserve"> ADDIN ZOTERO_ITEM CSL_CITATION {"citationID":"SlIlpn9K","properties":{"formattedCitation":"(Trautmann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w:t>
      </w:r>
      <w:r>
        <w:rPr>
          <w:u w:val="single"/>
        </w:rPr>
        <w:t xml:space="preserve"> </w:t>
      </w:r>
      <w:r>
        <w:t xml:space="preserve">The loss of a particular homolog, bS21-2, leads to a difference in protein abundance of T6SS compared to wild-type, a decrease in intramacrophage survival, and to a growth defect </w:t>
      </w:r>
      <w:r w:rsidRPr="00B0150E">
        <w:rPr>
          <w:i/>
          <w:iCs/>
        </w:rPr>
        <w:t>in vitro</w:t>
      </w:r>
      <w:r w:rsidR="008A2C3C">
        <w:rPr>
          <w:i/>
          <w:iCs/>
        </w:rPr>
        <w:t xml:space="preserve"> </w:t>
      </w:r>
      <w:r w:rsidR="008A2C3C" w:rsidRPr="008A2C3C">
        <w:fldChar w:fldCharType="begin"/>
      </w:r>
      <w:r w:rsidR="008A2C3C" w:rsidRPr="008A2C3C">
        <w:instrText xml:space="preserve"> ADDIN ZOTERO_ITEM CSL_CITATION {"citationID":"n9xeUdcW","properties":{"formattedCitation":"(Trautmann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rsidRPr="008A2C3C">
        <w:fldChar w:fldCharType="separate"/>
      </w:r>
      <w:r w:rsidR="008A2C3C" w:rsidRPr="008A2C3C">
        <w:rPr>
          <w:noProof/>
        </w:rPr>
        <w:t>(Trautmann &amp; Ramsey, 2022)</w:t>
      </w:r>
      <w:r w:rsidR="008A2C3C" w:rsidRPr="008A2C3C">
        <w:fldChar w:fldCharType="end"/>
      </w:r>
      <w:r>
        <w:t xml:space="preserve">.  Complementing strains of </w:t>
      </w:r>
      <w:r w:rsidRPr="00CA306D">
        <w:rPr>
          <w:i/>
          <w:iCs/>
        </w:rPr>
        <w:t>F. tularensis</w:t>
      </w:r>
      <w:r>
        <w:t xml:space="preserve"> that lack bS21-2 with </w:t>
      </w:r>
      <w:r>
        <w:lastRenderedPageBreak/>
        <w:t>bS21-2 or bS21-3 restore protein abundance of T6SS, but bS21-1 does not</w:t>
      </w:r>
      <w:r w:rsidR="008A2C3C">
        <w:t xml:space="preserve"> </w:t>
      </w:r>
      <w:r w:rsidR="008A2C3C">
        <w:fldChar w:fldCharType="begin"/>
      </w:r>
      <w:r w:rsidR="008A2C3C">
        <w:instrText xml:space="preserve"> ADDIN ZOTERO_ITEM CSL_CITATION {"citationID":"3lWRdUac","properties":{"formattedCitation":"(Trautmann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fldChar w:fldCharType="separate"/>
      </w:r>
      <w:r w:rsidR="008A2C3C">
        <w:rPr>
          <w:noProof/>
        </w:rPr>
        <w:t>(Trautmann &amp; Ramsey, 2022)</w:t>
      </w:r>
      <w:r w:rsidR="008A2C3C">
        <w:fldChar w:fldCharType="end"/>
      </w:r>
      <w:r>
        <w:t xml:space="preserve">. bS21-1 restores wild-type level growth in </w:t>
      </w:r>
      <w:r w:rsidRPr="00C06E53">
        <w:rPr>
          <w:i/>
          <w:iCs/>
        </w:rPr>
        <w:t>∆rpsU2</w:t>
      </w:r>
      <w:r>
        <w:t xml:space="preserve"> strains (the gene that encodes bS21-2), but bS21-3 does not</w:t>
      </w:r>
      <w:r w:rsidR="008A2C3C">
        <w:t xml:space="preserve"> </w:t>
      </w:r>
      <w:r w:rsidR="008A2C3C">
        <w:fldChar w:fldCharType="begin"/>
      </w:r>
      <w:r w:rsidR="008A2C3C">
        <w:instrText xml:space="preserve"> ADDIN ZOTERO_ITEM CSL_CITATION {"citationID":"oBvArp3N","properties":{"formattedCitation":"(Trautmann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fldChar w:fldCharType="separate"/>
      </w:r>
      <w:r w:rsidR="008A2C3C">
        <w:rPr>
          <w:noProof/>
        </w:rPr>
        <w:t>(Trautmann &amp; Ramsey, 2022)</w:t>
      </w:r>
      <w:r w:rsidR="008A2C3C">
        <w:fldChar w:fldCharType="end"/>
      </w:r>
      <w:r>
        <w:t>. Finally, neither bS21-1 nor bS21-3 restore intramacrophage survival in cells lacking bS21-2</w:t>
      </w:r>
      <w:r w:rsidR="008A2C3C">
        <w:t xml:space="preserve"> </w:t>
      </w:r>
      <w:r w:rsidR="008A2C3C">
        <w:fldChar w:fldCharType="begin"/>
      </w:r>
      <w:r w:rsidR="008A2C3C">
        <w:instrText xml:space="preserve"> ADDIN ZOTERO_ITEM CSL_CITATION {"citationID":"wJAyePGg","properties":{"formattedCitation":"(Trautmann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8A2C3C">
        <w:fldChar w:fldCharType="separate"/>
      </w:r>
      <w:r w:rsidR="008A2C3C">
        <w:rPr>
          <w:noProof/>
        </w:rPr>
        <w:t>(Trautmann &amp; Ramsey, 2022)</w:t>
      </w:r>
      <w:r w:rsidR="008A2C3C">
        <w:fldChar w:fldCharType="end"/>
      </w:r>
      <w:r>
        <w:t xml:space="preserve">. These data suggest that each homolog is preferentially involved with the initiation of translation of different transcripts. </w:t>
      </w:r>
    </w:p>
    <w:p w14:paraId="738EC5F5" w14:textId="117E9D6F" w:rsidR="0096330A" w:rsidRDefault="0096330A" w:rsidP="00C32209">
      <w:pPr>
        <w:ind w:firstLine="720"/>
        <w:contextualSpacing/>
      </w:pPr>
      <w:r>
        <w:t>Broadly, it is unclear how changes in the composition of ribosomes affects protein synthesis. While we see that a deletion of bS21-2 leads to a change in phenotype</w:t>
      </w:r>
      <w:r w:rsidR="00C32209">
        <w:t xml:space="preserve"> in </w:t>
      </w:r>
      <w:r w:rsidR="00C32209" w:rsidRPr="00C32209">
        <w:rPr>
          <w:i/>
          <w:iCs/>
        </w:rPr>
        <w:t>F. tularensis</w:t>
      </w:r>
      <w:r>
        <w:t xml:space="preserve">, it has not been determined if all three homologs preferentially translate a different subset of mRNAs. </w:t>
      </w:r>
    </w:p>
    <w:p w14:paraId="127785CB" w14:textId="77777777" w:rsidR="00C32209" w:rsidRDefault="00C32209" w:rsidP="0053769C">
      <w:pPr>
        <w:contextualSpacing/>
        <w:rPr>
          <w:b/>
          <w:bCs/>
        </w:rPr>
      </w:pPr>
    </w:p>
    <w:p w14:paraId="3D51BA28" w14:textId="78D0F5A7" w:rsidR="00047A43" w:rsidRDefault="00047A43" w:rsidP="0053769C">
      <w:pPr>
        <w:contextualSpacing/>
        <w:rPr>
          <w:b/>
          <w:bCs/>
        </w:rPr>
      </w:pPr>
      <w:r w:rsidRPr="00443C27">
        <w:rPr>
          <w:b/>
          <w:bCs/>
        </w:rPr>
        <w:t>Specific Aim</w:t>
      </w:r>
      <w:r w:rsidR="00C32209">
        <w:rPr>
          <w:b/>
          <w:bCs/>
        </w:rPr>
        <w:t xml:space="preserve"> #1</w:t>
      </w:r>
      <w:r w:rsidRPr="00443C27">
        <w:rPr>
          <w:b/>
          <w:bCs/>
        </w:rPr>
        <w:t>:</w:t>
      </w:r>
    </w:p>
    <w:p w14:paraId="7C9BF322" w14:textId="77777777" w:rsidR="003621C5" w:rsidRDefault="0053769C" w:rsidP="003621C5">
      <w:pPr>
        <w:contextualSpacing/>
      </w:pPr>
      <w:r>
        <w:t xml:space="preserve">Is there specificity of translation among the </w:t>
      </w:r>
      <w:r w:rsidR="00622984">
        <w:t>three</w:t>
      </w:r>
      <w:r>
        <w:t xml:space="preserve"> homologs of the ribosomal protein bS21</w:t>
      </w:r>
      <w:r w:rsidR="00622984">
        <w:t xml:space="preserve"> in </w:t>
      </w:r>
      <w:r w:rsidR="00622984" w:rsidRPr="00622984">
        <w:rPr>
          <w:i/>
          <w:iCs/>
        </w:rPr>
        <w:t>F. tularensis</w:t>
      </w:r>
      <w:r>
        <w:t>?</w:t>
      </w:r>
    </w:p>
    <w:p w14:paraId="1E4B059A" w14:textId="0C723728" w:rsidR="00FA14EA" w:rsidRPr="000E7C54" w:rsidRDefault="00FA14EA" w:rsidP="003621C5">
      <w:pPr>
        <w:contextualSpacing/>
      </w:pPr>
      <w:r w:rsidRPr="003621C5">
        <w:rPr>
          <w:u w:val="single"/>
        </w:rPr>
        <w:t>Overall strategy:</w:t>
      </w:r>
      <w:r w:rsidR="00B1577A" w:rsidRPr="00B1577A">
        <w:t xml:space="preserve"> </w:t>
      </w:r>
      <w:r w:rsidR="00B1577A">
        <w:t xml:space="preserve">Ribosome profiling is a technique that sequences mRNA footprints that are protected by actively translating ribosomes. The measured density of ribosomes halted on a given transcript is representative of protein synthesis, allowing for a global snapshot of what is being translated across the genome </w:t>
      </w:r>
      <w:r w:rsidR="00B1577A">
        <w:fldChar w:fldCharType="begin"/>
      </w:r>
      <w:r w:rsidR="00B1577A">
        <w:instrText xml:space="preserve"> ADDIN ZOTERO_ITEM CSL_CITATION {"citationID":"wFASTB48","properties":{"formattedCitation":"(Brar &amp; Weissman, 2015; Johnson &amp; Li, 2018; Mohammad &amp; Buskirk, 2019)","plainCitation":"(Brar &amp; Weissman, 2015; Johnson &amp; Li, 2018; Mohammad &amp; Buskirk, 2019)","noteIndex":0},"citationItems":[{"id":866,"uris":["http://zotero.org/users/9677915/items/JLRRGG4I"],"itemData":{"id":866,"type":"article-journal","abstract":"Ribosome profiling has the power to interrogate — in vivo and on a global scale — what is being translated, how this translation is regulated, and where in the cell the translation of specific sets of proteins occurs.","container-title":"Nature reviews. Molecular cell biology","DOI":"10.1038/nrm4069","ISSN":"1471-0072","issue":"11","journalAbbreviation":"Nat Rev Mol Cell Biol","note":"PMID: 26465719\nPMCID: PMC5522010","page":"651-664","source":"PubMed Central","title":"Ribosome profiling reveals the what, when, where, and how of protein synthesis","volume":"16","author":[{"family":"Brar","given":"Gloria A."},{"family":"Weissman","given":"Jonathan S."}],"issued":{"date-parts":[["2015",11]]}}},{"id":762,"uris":["http://zotero.org/users/9677915/items/QDD86JW6"],"itemData":{"id":762,"type":"chapter","abstract":"Bacteria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B1577A">
        <w:fldChar w:fldCharType="separate"/>
      </w:r>
      <w:r w:rsidR="00B1577A">
        <w:rPr>
          <w:noProof/>
        </w:rPr>
        <w:t>(Brar &amp; Weissman, 2015; Johnson &amp; Li, 2018; Mohammad &amp; Buskirk, 2019)</w:t>
      </w:r>
      <w:r w:rsidR="00B1577A">
        <w:fldChar w:fldCharType="end"/>
      </w:r>
      <w:r w:rsidR="00B1577A">
        <w:t xml:space="preserve">. A parallel analysis of RNA Seq data will also allow us to delve into any discrepancy (not the right thing I’m trying to say here) between transcript abundance and protein abundance </w:t>
      </w:r>
      <w:r w:rsidR="000E7C54">
        <w:t xml:space="preserve">In order to assess which homolog is translating which mRNAs, we will first immunoprecipitate each homolog with a different epitope attached to the C-terminus of bS21 under the control of its native promoter to maintain stoichiometric amounts of each class of ribosome. We will degrade RNAs unprotected by the ribosome and assess the purity and integrity of 70S </w:t>
      </w:r>
      <w:r w:rsidR="00B16F9C">
        <w:rPr>
          <w:noProof/>
        </w:rPr>
        <mc:AlternateContent>
          <mc:Choice Requires="wps">
            <w:drawing>
              <wp:anchor distT="0" distB="0" distL="114300" distR="114300" simplePos="0" relativeHeight="251666432" behindDoc="0" locked="0" layoutInCell="1" allowOverlap="1" wp14:anchorId="606E3DF5" wp14:editId="7CF0628A">
                <wp:simplePos x="0" y="0"/>
                <wp:positionH relativeFrom="column">
                  <wp:posOffset>0</wp:posOffset>
                </wp:positionH>
                <wp:positionV relativeFrom="paragraph">
                  <wp:posOffset>2506980</wp:posOffset>
                </wp:positionV>
                <wp:extent cx="1258570" cy="635"/>
                <wp:effectExtent l="0" t="0" r="0" b="12065"/>
                <wp:wrapSquare wrapText="bothSides"/>
                <wp:docPr id="989415201" name="Text Box 1"/>
                <wp:cNvGraphicFramePr/>
                <a:graphic xmlns:a="http://schemas.openxmlformats.org/drawingml/2006/main">
                  <a:graphicData uri="http://schemas.microsoft.com/office/word/2010/wordprocessingShape">
                    <wps:wsp>
                      <wps:cNvSpPr txBox="1"/>
                      <wps:spPr>
                        <a:xfrm>
                          <a:off x="0" y="0"/>
                          <a:ext cx="1258570" cy="635"/>
                        </a:xfrm>
                        <a:prstGeom prst="rect">
                          <a:avLst/>
                        </a:prstGeom>
                        <a:solidFill>
                          <a:prstClr val="white"/>
                        </a:solidFill>
                        <a:ln>
                          <a:noFill/>
                        </a:ln>
                      </wps:spPr>
                      <wps:txbx>
                        <w:txbxContent>
                          <w:p w14:paraId="58F81D8F" w14:textId="1D98DCE0" w:rsidR="00B16F9C" w:rsidRPr="007C6C90" w:rsidRDefault="00B16F9C" w:rsidP="00B16F9C">
                            <w:pPr>
                              <w:pStyle w:val="Caption"/>
                              <w:rPr>
                                <w:u w:val="single"/>
                              </w:rPr>
                            </w:pPr>
                            <w:r>
                              <w:t xml:space="preserve">Figure </w:t>
                            </w:r>
                            <w:fldSimple w:instr=" SEQ Figure \* ARABIC ">
                              <w:r>
                                <w:rPr>
                                  <w:noProof/>
                                </w:rPr>
                                <w:t>2</w:t>
                              </w:r>
                            </w:fldSimple>
                            <w:r>
                              <w:t xml:space="preserve"> Proposed model of F. tularensis chromosome with each copy of rpsU tagged with an epitope at the 3' </w:t>
                            </w:r>
                            <w:proofErr w:type="gramStart"/>
                            <w:r>
                              <w:t>end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06E3DF5" id="_x0000_t202" coordsize="21600,21600" o:spt="202" path="m,l,21600r21600,l21600,xe">
                <v:stroke joinstyle="miter"/>
                <v:path gradientshapeok="t" o:connecttype="rect"/>
              </v:shapetype>
              <v:shape id="Text Box 1" o:spid="_x0000_s1026" type="#_x0000_t202" style="position:absolute;margin-left:0;margin-top:197.4pt;width:99.1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" stroked="f">
                <v:textbox style="mso-fit-shape-to-text:t" inset="0,0,0,0">
                  <w:txbxContent>
                    <w:p w14:paraId="58F81D8F" w14:textId="1D98DCE0" w:rsidR="00B16F9C" w:rsidRPr="007C6C90" w:rsidRDefault="00B16F9C" w:rsidP="00B16F9C">
                      <w:pPr>
                        <w:pStyle w:val="Caption"/>
                        <w:rPr>
                          <w:u w:val="single"/>
                        </w:rPr>
                      </w:pPr>
                      <w:r>
                        <w:t xml:space="preserve">Figure </w:t>
                      </w:r>
                      <w:fldSimple w:instr=" SEQ Figure \* ARABIC ">
                        <w:r>
                          <w:rPr>
                            <w:noProof/>
                          </w:rPr>
                          <w:t>2</w:t>
                        </w:r>
                      </w:fldSimple>
                      <w:r>
                        <w:t xml:space="preserve"> Proposed model of F. tularensis chromosome with each copy of rpsU tagged with an epitope at the 3' </w:t>
                      </w:r>
                      <w:proofErr w:type="gramStart"/>
                      <w:r>
                        <w:t>end</w:t>
                      </w:r>
                      <w:proofErr w:type="gramEnd"/>
                    </w:p>
                  </w:txbxContent>
                </v:textbox>
                <w10:wrap type="square"/>
              </v:shape>
            </w:pict>
          </mc:Fallback>
        </mc:AlternateContent>
      </w:r>
      <w:r w:rsidR="00B16F9C">
        <w:rPr>
          <w:noProof/>
        </w:rPr>
        <w:drawing>
          <wp:anchor distT="0" distB="0" distL="114300" distR="114300" simplePos="0" relativeHeight="251661312" behindDoc="0" locked="0" layoutInCell="1" allowOverlap="1" wp14:anchorId="729A279C" wp14:editId="65B165FA">
            <wp:simplePos x="0" y="0"/>
            <wp:positionH relativeFrom="column">
              <wp:posOffset>0</wp:posOffset>
            </wp:positionH>
            <wp:positionV relativeFrom="paragraph">
              <wp:posOffset>1287145</wp:posOffset>
            </wp:positionV>
            <wp:extent cx="1258570" cy="1162685"/>
            <wp:effectExtent l="0" t="0" r="0" b="5715"/>
            <wp:wrapSquare wrapText="bothSides"/>
            <wp:docPr id="680685367" name="Picture 6" descr="A diagram of a circ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85367" name="Picture 6" descr="A diagram of a circular object with arrow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8570" cy="1162685"/>
                    </a:xfrm>
                    <a:prstGeom prst="rect">
                      <a:avLst/>
                    </a:prstGeom>
                  </pic:spPr>
                </pic:pic>
              </a:graphicData>
            </a:graphic>
            <wp14:sizeRelH relativeFrom="page">
              <wp14:pctWidth>0</wp14:pctWidth>
            </wp14:sizeRelH>
            <wp14:sizeRelV relativeFrom="page">
              <wp14:pctHeight>0</wp14:pctHeight>
            </wp14:sizeRelV>
          </wp:anchor>
        </w:drawing>
      </w:r>
      <w:r w:rsidR="000E7C54">
        <w:t>ribosomes with sucrose gradients. We will extract the mRNA footprints and convert them to cDNA to establish the sequencing library</w:t>
      </w:r>
      <w:r w:rsidR="00C80317">
        <w:t xml:space="preserve">. While we prepare the ribosome profiling </w:t>
      </w:r>
      <w:r w:rsidR="006375EF">
        <w:t>library,</w:t>
      </w:r>
      <w:r w:rsidR="00C80317" w:rsidRPr="00C80317">
        <w:t xml:space="preserve"> </w:t>
      </w:r>
      <w:r w:rsidR="00C80317">
        <w:t xml:space="preserve">we will also build an RNA-Seq library to assess transcript abundance. Both sets of </w:t>
      </w:r>
      <w:r w:rsidR="00425A18">
        <w:t>samples</w:t>
      </w:r>
      <w:r w:rsidR="00C80317">
        <w:t xml:space="preserve"> will be sequenced</w:t>
      </w:r>
      <w:r w:rsidR="00425A18">
        <w:t xml:space="preserve"> by Illumina NovaSeq </w:t>
      </w:r>
      <w:r w:rsidR="006375EF">
        <w:t>6000,</w:t>
      </w:r>
      <w:r w:rsidR="00425A18">
        <w:t xml:space="preserve"> and</w:t>
      </w:r>
      <w:r w:rsidR="00C80317">
        <w:t xml:space="preserve"> we will </w:t>
      </w:r>
      <w:r w:rsidR="00425A18">
        <w:t>analyze the data with Cutadapt for removal of DNA adapters</w:t>
      </w:r>
      <w:r w:rsidR="00C80317">
        <w:t xml:space="preserve"> and </w:t>
      </w:r>
      <w:r w:rsidR="00425A18">
        <w:t>Bowtie</w:t>
      </w:r>
      <w:r w:rsidR="00C80317">
        <w:t>2</w:t>
      </w:r>
      <w:r w:rsidR="00425A18">
        <w:t xml:space="preserve"> for alignment</w:t>
      </w:r>
      <w:r w:rsidR="00C80317">
        <w:t xml:space="preserve"> to the </w:t>
      </w:r>
      <w:r w:rsidR="00C80317" w:rsidRPr="00C80317">
        <w:rPr>
          <w:i/>
          <w:iCs/>
        </w:rPr>
        <w:t>F. tularensis</w:t>
      </w:r>
      <w:r w:rsidR="00C80317">
        <w:t xml:space="preserve"> genome. We will analyze the ribosome footprints with</w:t>
      </w:r>
      <w:r w:rsidR="00425A18">
        <w:t xml:space="preserve"> RiboProfiling</w:t>
      </w:r>
      <w:r w:rsidR="00C80317">
        <w:t>, and for the RNA-Seq data we will count reads with HTSeq-Count and analyze them with DESeq2.</w:t>
      </w:r>
    </w:p>
    <w:p w14:paraId="78244739" w14:textId="63E1A929" w:rsidR="00C32209" w:rsidRDefault="00B16F9C" w:rsidP="00715B1D">
      <w:pPr>
        <w:contextualSpacing/>
      </w:pPr>
      <w:r>
        <w:rPr>
          <w:noProof/>
        </w:rPr>
        <mc:AlternateContent>
          <mc:Choice Requires="wps">
            <w:drawing>
              <wp:anchor distT="0" distB="0" distL="114300" distR="114300" simplePos="0" relativeHeight="251660288" behindDoc="1" locked="0" layoutInCell="1" allowOverlap="1" wp14:anchorId="7B587223" wp14:editId="6E3CD7E8">
                <wp:simplePos x="0" y="0"/>
                <wp:positionH relativeFrom="column">
                  <wp:posOffset>0</wp:posOffset>
                </wp:positionH>
                <wp:positionV relativeFrom="paragraph">
                  <wp:posOffset>2265253</wp:posOffset>
                </wp:positionV>
                <wp:extent cx="4278630" cy="635"/>
                <wp:effectExtent l="0" t="0" r="1270" b="12065"/>
                <wp:wrapTight wrapText="bothSides">
                  <wp:wrapPolygon edited="0">
                    <wp:start x="0" y="0"/>
                    <wp:lineTo x="0" y="0"/>
                    <wp:lineTo x="21542" y="0"/>
                    <wp:lineTo x="21542" y="0"/>
                    <wp:lineTo x="0" y="0"/>
                  </wp:wrapPolygon>
                </wp:wrapTight>
                <wp:docPr id="382993564" name="Text Box 1"/>
                <wp:cNvGraphicFramePr/>
                <a:graphic xmlns:a="http://schemas.openxmlformats.org/drawingml/2006/main">
                  <a:graphicData uri="http://schemas.microsoft.com/office/word/2010/wordprocessingShape">
                    <wps:wsp>
                      <wps:cNvSpPr txBox="1"/>
                      <wps:spPr>
                        <a:xfrm>
                          <a:off x="0" y="0"/>
                          <a:ext cx="4278630" cy="635"/>
                        </a:xfrm>
                        <a:prstGeom prst="rect">
                          <a:avLst/>
                        </a:prstGeom>
                        <a:solidFill>
                          <a:prstClr val="white"/>
                        </a:solidFill>
                        <a:ln>
                          <a:noFill/>
                        </a:ln>
                      </wps:spPr>
                      <wps:txbx>
                        <w:txbxContent>
                          <w:p w14:paraId="6082D871" w14:textId="380F7FEF" w:rsidR="00B16F9C" w:rsidRPr="00F16C2F" w:rsidRDefault="00B16F9C" w:rsidP="00B16F9C">
                            <w:pPr>
                              <w:pStyle w:val="Caption"/>
                              <w:rPr>
                                <w:u w:val="single"/>
                              </w:rPr>
                            </w:pPr>
                            <w:r>
                              <w:t xml:space="preserve">Figure </w:t>
                            </w:r>
                            <w:fldSimple w:instr=" SEQ Figure \* ARABIC ">
                              <w:r>
                                <w:rPr>
                                  <w:noProof/>
                                </w:rPr>
                                <w:t>3</w:t>
                              </w:r>
                            </w:fldSimple>
                            <w:r>
                              <w:t xml:space="preserve"> Workflow of ribosome profiling from library preparation to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587223" id="_x0000_s1027" type="#_x0000_t202" style="position:absolute;margin-left:0;margin-top:178.35pt;width:336.9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" stroked="f">
                <v:textbox style="mso-fit-shape-to-text:t" inset="0,0,0,0">
                  <w:txbxContent>
                    <w:p w14:paraId="6082D871" w14:textId="380F7FEF" w:rsidR="00B16F9C" w:rsidRPr="00F16C2F" w:rsidRDefault="00B16F9C" w:rsidP="00B16F9C">
                      <w:pPr>
                        <w:pStyle w:val="Caption"/>
                        <w:rPr>
                          <w:u w:val="single"/>
                        </w:rPr>
                      </w:pPr>
                      <w:r>
                        <w:t xml:space="preserve">Figure </w:t>
                      </w:r>
                      <w:fldSimple w:instr=" SEQ Figure \* ARABIC ">
                        <w:r>
                          <w:rPr>
                            <w:noProof/>
                          </w:rPr>
                          <w:t>3</w:t>
                        </w:r>
                      </w:fldSimple>
                      <w:r>
                        <w:t xml:space="preserve"> Workflow of ribosome profiling from library preparation to analysis</w:t>
                      </w:r>
                    </w:p>
                  </w:txbxContent>
                </v:textbox>
                <w10:wrap type="tight"/>
              </v:shape>
            </w:pict>
          </mc:Fallback>
        </mc:AlternateContent>
      </w:r>
      <w:r w:rsidR="00B924C5" w:rsidRPr="003621C5">
        <w:rPr>
          <w:u w:val="single"/>
        </w:rPr>
        <w:t>Rational</w:t>
      </w:r>
      <w:r w:rsidR="00C32209">
        <w:t>.</w:t>
      </w:r>
      <w:r w:rsidR="000E7C54">
        <w:t xml:space="preserve"> </w:t>
      </w:r>
      <w:r w:rsidR="00B1577A">
        <w:t>Using ribosome profiling to ascertain whether each bS21 homolog</w:t>
      </w:r>
      <w:r w:rsidR="00B1577A" w:rsidRPr="00B924C5">
        <w:t xml:space="preserve"> </w:t>
      </w:r>
      <w:r w:rsidR="00B1577A">
        <w:t xml:space="preserve">preferentially translates a specific subclass of mRNAs will provide insight into the mechanism of bS21’s role in translation initiation. We hypothesize the different populations of ribosomes in F. tularensis will preferentially translate </w:t>
      </w:r>
      <w:r w:rsidR="00EF64DC">
        <w:t>mRNAs.</w:t>
      </w:r>
    </w:p>
    <w:p w14:paraId="0926854B" w14:textId="77777777" w:rsidR="00B16F9C" w:rsidRDefault="003621C5" w:rsidP="00C32209">
      <w:pPr>
        <w:contextualSpacing/>
      </w:pPr>
      <w:r>
        <w:tab/>
      </w:r>
    </w:p>
    <w:p w14:paraId="5C029F94" w14:textId="01ED3141" w:rsidR="00C32209" w:rsidRPr="00B16F9C" w:rsidRDefault="009510E3" w:rsidP="00C32209">
      <w:pPr>
        <w:contextualSpacing/>
      </w:pPr>
      <w:r>
        <w:rPr>
          <w:u w:val="single"/>
        </w:rPr>
        <w:lastRenderedPageBreak/>
        <w:t xml:space="preserve">A putative </w:t>
      </w:r>
      <w:r w:rsidR="00C32209" w:rsidRPr="00C32209">
        <w:rPr>
          <w:u w:val="single"/>
        </w:rPr>
        <w:t>connection between bS21 and cell wall synthesis</w:t>
      </w:r>
      <w:r w:rsidR="00C32209">
        <w:rPr>
          <w:u w:val="single"/>
        </w:rPr>
        <w:t>:</w:t>
      </w:r>
    </w:p>
    <w:p w14:paraId="5C0A320D" w14:textId="0AA0411A" w:rsidR="00F4637B" w:rsidRPr="00F4637B" w:rsidRDefault="00F4637B" w:rsidP="009510E3">
      <w:pPr>
        <w:ind w:firstLine="720"/>
        <w:contextualSpacing/>
      </w:pPr>
      <w:r w:rsidRPr="00F4637B">
        <w:t xml:space="preserve">In </w:t>
      </w:r>
      <w:r w:rsidRPr="00F4637B">
        <w:rPr>
          <w:i/>
          <w:iCs/>
        </w:rPr>
        <w:t xml:space="preserve">Staphylococcus. aureus, </w:t>
      </w:r>
      <w:r w:rsidRPr="00F4637B">
        <w:t>resistance to antibiotics is an increasing threat to public healt</w:t>
      </w:r>
      <w:r w:rsidR="00EF64DC">
        <w:t xml:space="preserve">h </w:t>
      </w:r>
      <w:r w:rsidR="0046128A">
        <w:fldChar w:fldCharType="begin"/>
      </w:r>
      <w:r w:rsidR="0046128A">
        <w:instrText xml:space="preserve"> ADDIN ZOTERO_ITEM CSL_CITATION {"citationID":"8FMwXE9Y","properties":{"formattedCitation":"(Sader et al., 2009)","plainCitation":"(Sader et al., 2009)","noteIndex":0},"citationItems":[{"id":1034,"uris":["http://zotero.org/users/9677915/items/L4MRBWIH"],"itemData":{"id":1034,"type":"article-journal","abstract":"Vancomycin MIC creep has been reported by some institutions but not confirmed in large surveillance studies. We evaluated the possible occurrence of MIC creep when testing vancomycin and daptomycin against methicillin (oxacillin)-resistant Staphylococcus ...","container-title":"Antimicrobial Agents and Chemotherapy","DOI":"10.1128/AAC.00616-09","issue":"10","language":"en","note":"publisher: American Society for Microbiology (ASM)\nPMID: 19635961","page":"4127","source":"www.ncbi.nlm.nih.gov","title":"Evaluation of Vancomycin and Daptomycin Potency Trends (MIC Creep) against Methicillin-Resistant Staphylococcus aureus Isolates Collected in Nine U.S. Medical Centers from 2002 to 2006","volume":"53","author":[{"family":"Sader","given":"Helio S."},{"family":"Fey","given":"Paul D."},{"family":"Fish","given":"Douglas N."},{"family":"Limaye","given":"Ajit P."},{"family":"Pankey","given":"George"},{"family":"Rahal","given":"James"},{"family":"Rybak","given":"Michael J."},{"family":"Snydman","given":"David R."},{"family":"Steed","given":"Lisa L."},{"family":"Waites","given":"Ken"},{"family":"Jones","given":"Ronald N."}],"issued":{"date-parts":[["2009",10]]}}}],"schema":"https://github.com/citation-style-language/schema/raw/master/csl-citation.json"} </w:instrText>
      </w:r>
      <w:r w:rsidR="0046128A">
        <w:fldChar w:fldCharType="separate"/>
      </w:r>
      <w:r w:rsidR="0046128A">
        <w:rPr>
          <w:noProof/>
        </w:rPr>
        <w:t>(Sader et al., 2009)</w:t>
      </w:r>
      <w:r w:rsidR="0046128A">
        <w:fldChar w:fldCharType="end"/>
      </w:r>
      <w:r w:rsidRPr="00F4637B">
        <w:t xml:space="preserve">. Methicillin-resistant </w:t>
      </w:r>
      <w:r w:rsidRPr="00F4637B">
        <w:rPr>
          <w:i/>
          <w:iCs/>
        </w:rPr>
        <w:t>S. aureus</w:t>
      </w:r>
      <w:r w:rsidRPr="00F4637B">
        <w:t xml:space="preserve"> (MRSA) is a multi-drug resistant strain </w:t>
      </w:r>
      <w:r w:rsidR="00101E6B">
        <w:t xml:space="preserve">whose </w:t>
      </w:r>
      <w:r w:rsidRPr="00F4637B">
        <w:t xml:space="preserve">drug susceptibility profile is constantly evolving. MRSA has given way to VSSA and VRSA (vancomycin-intermediate and vancomycin-resistant </w:t>
      </w:r>
      <w:r w:rsidRPr="00F4637B">
        <w:rPr>
          <w:i/>
          <w:iCs/>
        </w:rPr>
        <w:t>S. aureus</w:t>
      </w:r>
      <w:r w:rsidRPr="00F4637B">
        <w:t>, respectively)</w:t>
      </w:r>
      <w:r w:rsidR="0046128A">
        <w:fldChar w:fldCharType="begin"/>
      </w:r>
      <w:r w:rsidR="000817F6">
        <w:instrText xml:space="preserve"> ADDIN ZOTERO_ITEM CSL_CITATION {"citationID":"qTfKxPOw","properties":{"formattedCitation":"(Cui et al., 2006; Hanaki et al., 1998)","plainCitation":"(Cui et al., 2006; Hanaki et al., 1998)","noteIndex":0},"citationItems":[{"id":1016,"uris":["http://zotero.org/users/9677915/items/QW7JWNI6"],"itemData":{"id":1016,"type":"article-journal","abstract":"As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810,"uris":["http://zotero.org/users/9677915/items/V6NQQMKF"],"itemData":{"id":810,"type":"article-journal","abstract":"We have previously reported methicillin-resistant Staphylococcus aureus clinical strains, Mu50 and Mu3, representing two categories of vancomycin resistance: Mu50 representing vancomycin-resistant S. aureus (VRSA) with MICs &amp;gt; or = 8 mg/L, and Mu3 representing hetero-VRSA with MICs &amp;lt; or = 4 mg/L using standard MIC determination methods. The mechanisms of vancomycin resistance in these strains were investigated. These strains did not carry the enterococcal vancomycin-resistance genes, vanA, vanB, or vanC1-3, as tested by PCR using specific primers. However, both strains produced three to five times the amount of penicillin-binding proteins (PBPs) 2 and 2' when compared with vancomycin-susceptible S. aureus control strains with or without methicillin resistance; the amounts of PBP2 produced in Mu3 and Mu50 were comparable to those in the vancomycin-resistant S. aureus mutant strains selected in vitro. Incorporation of 14C-labelled Nacetyl-glucosamine into the cell was three to 20 times increased in Mu50 and Mu3, and release of the radioactive cell wall material was increased in Mu3 (and also in Mu50, though to a lesser extent), compared with control strains. The amounts of intracellular murein monomer precursor in these strains were three to eight times greater than those found in control strains. Transmission electron microscopy showed a doubling in the cell wall thickness in Mu50 compared with the control strains. Mu3 did not show obvious cell wall thickening. These data indicate that activated synthesis and an increased rate of cell wall turnover are common features of Mu3 and Mu50 and may be the prerequisite for the expression of vancomycin resistance in S. aureus.","container-title":"Journal of Antimicrobial Chemotherapy","DOI":"10.1093/jac/42.2.199","ISSN":"0305-7453","issue":"2","journalAbbreviation":"Journal of Antimicrobial Chemotherapy","page":"199-209","source":"Silverchair","title":"Activated cell-wall synthesis is associated with vancomycin resistance in methicillin-resistant Staphylococcus aureus clinical strains Mu3 and Mu50.","volume":"42","author":[{"family":"Hanaki","given":"H"},{"family":"Kuwahara-Arai","given":"K"},{"family":"Boyle-Vavra","given":"S"},{"family":"Daum","given":"R S"},{"family":"Labischinski","given":"H"},{"family":"Hiramatsu","given":"K"}],"issued":{"date-parts":[["1998",8,1]]}}}],"schema":"https://github.com/citation-style-language/schema/raw/master/csl-citation.json"} </w:instrText>
      </w:r>
      <w:r w:rsidR="0046128A">
        <w:fldChar w:fldCharType="separate"/>
      </w:r>
      <w:r w:rsidR="000817F6">
        <w:rPr>
          <w:noProof/>
        </w:rPr>
        <w:t>(Cui et al., 2006; Hanaki et al., 1998)</w:t>
      </w:r>
      <w:r w:rsidR="0046128A">
        <w:fldChar w:fldCharType="end"/>
      </w:r>
      <w:r w:rsidRPr="00F4637B">
        <w:t xml:space="preserve">. Independent studies looking into this shift in resistance have revealed mutations in </w:t>
      </w:r>
      <w:r w:rsidRPr="00F4637B">
        <w:rPr>
          <w:i/>
          <w:iCs/>
        </w:rPr>
        <w:t>rpsU</w:t>
      </w:r>
      <w:r w:rsidR="0046128A" w:rsidRPr="0046128A">
        <w:t xml:space="preserve"> </w:t>
      </w:r>
      <w:r w:rsidR="0046128A" w:rsidRPr="0046128A">
        <w:fldChar w:fldCharType="begin"/>
      </w:r>
      <w:r w:rsidR="0046128A">
        <w:instrText xml:space="preserve"> ADDIN ZOTERO_ITEM CSL_CITATION {"citationID":"utJ52UQ5","properties":{"formattedCitation":"(Basco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rsidR="0046128A" w:rsidRPr="0046128A">
        <w:fldChar w:fldCharType="separate"/>
      </w:r>
      <w:r w:rsidR="0046128A">
        <w:t>(Basco et al., 2019; Friedman et al., 2006)</w:t>
      </w:r>
      <w:r w:rsidR="0046128A" w:rsidRPr="0046128A">
        <w:fldChar w:fldCharType="end"/>
      </w:r>
      <w:r w:rsidR="0046128A" w:rsidRPr="0046128A">
        <w:t xml:space="preserve"> </w:t>
      </w:r>
      <w:r w:rsidRPr="00F4637B">
        <w:t xml:space="preserve">. Additionally, a transposon insertion was found upstream of </w:t>
      </w:r>
      <w:r w:rsidRPr="00F4637B">
        <w:rPr>
          <w:i/>
          <w:iCs/>
        </w:rPr>
        <w:t>rpsU</w:t>
      </w:r>
      <w:r w:rsidRPr="00F4637B">
        <w:t xml:space="preserve"> that led to reduced susceptibility to daptomycin</w:t>
      </w:r>
      <w:r w:rsidR="00101E6B">
        <w:t xml:space="preserve"> </w:t>
      </w:r>
      <w:r w:rsidR="00101E6B">
        <w:fldChar w:fldCharType="begin"/>
      </w:r>
      <w:r w:rsidR="00101E6B">
        <w:instrText xml:space="preserve"> ADDIN ZOTERO_ITEM CSL_CITATION {"citationID":"tiXQlcjS","properties":{"formattedCitation":"(Blake &amp; O\\uc0\\u8217{}Neill, 2013)","plainCitation":"(Blake &amp; O’Neill, 2013)","noteIndex":0},"citationItems":[{"id":1144,"uris":["http://zotero.org/users/9677915/items/7UV8WH99"],"itemData":{"id":1144,"type":"article-journal","abstract":"Objectives: To establish an experimental platform in Staphylococcus aureus for identifying genetic loci that determine intrinsic antibiotic susceptibility and/or that have the potential to contribute to acquired antibiotic resistance. A near-saturation S. aureus transposon (Tn) library was screened for mutants exhibiting altered susceptibility to the antistaphylococcal agents daptomycin, vancomycin and nisin.\nMethods: S. aureus SH1000 was mutagenized with Tn InsTetG+2Cm by electroporation of transposomes. Approximately 20500 transposants were screened for increased or reduced susceptibility to the three antistaphylococcal agents and Tn insertion sites were mapped by DNA sequencing in mutants of interest.\nResults: Transposants exhibiting hypersusceptibility or reduced susceptibility were identiﬁed for all three antibacterial agents; mapping of Tn insertion sites in these mutants identiﬁed genetic determinants of intrinsic susceptibility and potential contributors to acquired resistance, respectively. Tn insertions in the dlt operon caused cross-hypersusceptibility to vancomycin, daptomycin and nisin. Daptomycin hypersusceptibility was also associated with disruption of genes directing lipoteichoic acid and riboﬂavin biosynthesis, apparent inactivation of a putative membrane protein encoded by SAOUHSC_00957 and truncation of the cell-division gene ezrA. Tn-mediated disruption of the vraDE- and SAOUHSC_02953/4-encoded ABC transporters conferred hypersusceptibility to nisin. Reduced susceptibility to both daptomycin and vancomycin was associated with Tn insertions in rpsU and upstream of yycFG. Several loci were associated with reduced susceptibility to nisin, including two genes encoding putative glycosyltransferases.\nConclusions: Tn library screening identiﬁed both known and novel modulators of antibacterial susceptibility in S. aureus and therefore represents a useful approach towards delineating the staphylococcal resistome.","container-title":"Journal of Antimicrobial Chemotherapy","DOI":"10.1093/jac/dks373","ISSN":"0305-7453, 1460-2091","issue":"1","journalAbbreviation":"Journal of Antimicrobial Chemotherapy","language":"en","page":"12-16","source":"DOI.org (Crossref)","title":"Transposon library screening for identification of genetic loci participating in intrinsic susceptibility and acquired resistance to antistaphylococcal agents","volume":"68","author":[{"family":"Blake","given":"K. L."},{"family":"O'Neill","given":"A. J."}],"issued":{"date-parts":[["2013",1,1]]}}}],"schema":"https://github.com/citation-style-language/schema/raw/master/csl-citation.json"} </w:instrText>
      </w:r>
      <w:r w:rsidR="00101E6B">
        <w:fldChar w:fldCharType="separate"/>
      </w:r>
      <w:r w:rsidR="00101E6B" w:rsidRPr="00101E6B">
        <w:rPr>
          <w:rFonts w:ascii="Calibri" w:cs="Calibri"/>
          <w:kern w:val="0"/>
        </w:rPr>
        <w:t>(Blake &amp; O’Neill, 2013)</w:t>
      </w:r>
      <w:r w:rsidR="00101E6B">
        <w:fldChar w:fldCharType="end"/>
      </w:r>
      <w:r w:rsidR="0046128A">
        <w:t xml:space="preserve"> </w:t>
      </w:r>
      <w:r w:rsidRPr="00F4637B">
        <w:t xml:space="preserve">. </w:t>
      </w:r>
    </w:p>
    <w:p w14:paraId="291174C9" w14:textId="2E053698" w:rsidR="00715B1D" w:rsidRPr="00F4637B" w:rsidRDefault="00F4637B" w:rsidP="00715B1D">
      <w:pPr>
        <w:ind w:firstLine="720"/>
        <w:contextualSpacing/>
      </w:pPr>
      <w:r w:rsidRPr="00F4637B">
        <w:t xml:space="preserve">Vancomycin and daptomycin are two antibiotics that are considered “last resort” </w:t>
      </w:r>
      <w:r w:rsidR="00715B1D">
        <w:t>therapie</w:t>
      </w:r>
      <w:r w:rsidRPr="00F4637B">
        <w:t xml:space="preserve">s against an increasing threat of resistant </w:t>
      </w:r>
      <w:r w:rsidRPr="00F4637B">
        <w:rPr>
          <w:i/>
          <w:iCs/>
        </w:rPr>
        <w:t>S. aureus</w:t>
      </w:r>
      <w:r w:rsidR="006B4013">
        <w:t xml:space="preserve"> </w:t>
      </w:r>
      <w:r w:rsidR="006B4013">
        <w:fldChar w:fldCharType="begin"/>
      </w:r>
      <w:r w:rsidR="006B4013">
        <w:instrText xml:space="preserve"> ADDIN ZOTERO_ITEM CSL_CITATION {"citationID":"dTEA71Vl","properties":{"formattedCitation":"(Cui et al., 2006; Miller et al., 2016)","plainCitation":"(Cui et al., 2006; Miller et al., 2016)","noteIndex":0},"citationItems":[{"id":1016,"uris":["http://zotero.org/users/9677915/items/QW7JWNI6"],"itemData":{"id":1016,"type":"article-journal","abstract":"As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A."}],"issued":{"date-parts":[["2016",11]]}}}],"schema":"https://github.com/citation-style-language/schema/raw/master/csl-citation.json"} </w:instrText>
      </w:r>
      <w:r w:rsidR="006B4013">
        <w:fldChar w:fldCharType="separate"/>
      </w:r>
      <w:r w:rsidR="006B4013">
        <w:rPr>
          <w:noProof/>
        </w:rPr>
        <w:t>(Cui et al., 2006; Miller et al., 2016)</w:t>
      </w:r>
      <w:r w:rsidR="006B4013">
        <w:fldChar w:fldCharType="end"/>
      </w:r>
      <w:r w:rsidRPr="00F4637B">
        <w:t>. Vancomycin is a glycopeptide that disrupts the peptidoglycan layer of Gram-positive bacteria by blocking substrates for its synthesis</w:t>
      </w:r>
      <w:r w:rsidR="006B4013">
        <w:t xml:space="preserve"> </w:t>
      </w:r>
      <w:r w:rsidR="006B4013">
        <w:fldChar w:fldCharType="begin"/>
      </w:r>
      <w:r w:rsidR="008C5502">
        <w:instrText xml:space="preserve"> ADDIN ZOTERO_ITEM CSL_CITATION {"citationID":"Z5JvplLV","properties":{"formattedCitation":"(Cui et al., 2006; Howden et al., 2010)","plainCitation":"(Cui et al., 2006; Howden et al., 2010)","noteIndex":0},"citationItems":[{"id":1016,"uris":["http://zotero.org/users/9677915/items/QW7JWNI6"],"itemData":{"id":1016,"type":"article-journal","abstract":"As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rsidR="006B4013">
        <w:fldChar w:fldCharType="separate"/>
      </w:r>
      <w:r w:rsidR="008C5502">
        <w:rPr>
          <w:noProof/>
        </w:rPr>
        <w:t>(Cui et al., 2006; Howden et al., 2010)</w:t>
      </w:r>
      <w:r w:rsidR="006B4013">
        <w:fldChar w:fldCharType="end"/>
      </w:r>
      <w:r w:rsidRPr="00F4637B">
        <w:t>. Specifically, it targets the D-alanyl-D-alanine residue (DDR) of lipid II precursor. Daptomycin is a lipopeptide that is often used when vancomycin fails. Its mechanism of action is still unclear, but it also disrupts cell wall synthesis</w:t>
      </w:r>
      <w:r w:rsidR="006B4013">
        <w:t xml:space="preserve"> </w:t>
      </w:r>
      <w:r w:rsidR="006B4013">
        <w:fldChar w:fldCharType="begin"/>
      </w:r>
      <w:r w:rsidR="008C5502">
        <w:instrText xml:space="preserve"> ADDIN ZOTERO_ITEM CSL_CITATION {"citationID":"QGUKsFLz","properties":{"formattedCitation":"(Miller et al., 2016; M\\uc0\\u252{}ller et al., 2016)","plainCitation":"(Miller et al., 2016; Müller et al., 2016)","noteIndex":0},"citationItems":[{"id":1099,"uris":["http://zotero.org/users/9677915/items/463J3BKR"],"itemData":{"id":1099,"type":"article-journal","abstract":"Lipopeptides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A."}],"issued":{"date-parts":[["2016",11]]}}},{"id":1030,"uris":["http://zotero.org/users/9677915/items/54MGMYWH"],"itemData":{"id":1030,"type":"article-journal","abstract":"To date, simple membrane pore formation resulting in cytoplasmic leakage is the prevailing model for how membrane-active antibiotics kill bacteria and also is one of the main explanations for the activity of the membrane-binding antibiotic daptomycin. ...","container-title":"Proceedings of the National Academy of Sciences of the United States of America","DOI":"10.1073/pnas.1611173113","issue":"45","language":"en","note":"publisher: National Academy of Sciences\nPMID: 27791134","page":"E7077","source":"www.ncbi.nlm.nih.gov","title":"Daptomycin inhibits cell envelope synthesis by interfering with fluid membrane microdomains","volume":"113","author":[{"family":"Müller","given":"Anna"},{"family":"Wenzel","given":"Michaela"},{"family":"Strahl","given":"Henrik"},{"family":"Grein","given":"Fabian"},{"family":"Saaki","given":"Terrens N. V."},{"family":"Kohl","given":"Bastian"},{"family":"Siersma","given":"Tjalling"},{"family":"Bandow","given":"Julia E."},{"family":"Sahl","given":"Hans-Georg"},{"family":"Schneider","given":"Tanja"},{"family":"Hamoen","given":"Leendert W."}],"issued":{"date-parts":[["2016",11,11]]}}}],"schema":"https://github.com/citation-style-language/schema/raw/master/csl-citation.json"} </w:instrText>
      </w:r>
      <w:r w:rsidR="006B4013">
        <w:fldChar w:fldCharType="separate"/>
      </w:r>
      <w:r w:rsidR="008C5502" w:rsidRPr="008C5502">
        <w:rPr>
          <w:rFonts w:ascii="Calibri" w:cs="Calibri"/>
          <w:kern w:val="0"/>
        </w:rPr>
        <w:t>(Miller et al., 2016; Müller et al., 2016)</w:t>
      </w:r>
      <w:r w:rsidR="006B4013">
        <w:fldChar w:fldCharType="end"/>
      </w:r>
      <w:r w:rsidRPr="00F4637B">
        <w:t xml:space="preserve">. Independent studies examining the increase in resistance against vancomycin and daptomycin by </w:t>
      </w:r>
      <w:r w:rsidRPr="00F4637B">
        <w:rPr>
          <w:i/>
          <w:iCs/>
        </w:rPr>
        <w:t>S. aureus</w:t>
      </w:r>
      <w:r w:rsidRPr="00F4637B">
        <w:t xml:space="preserve"> have uncovered loss-of-function mutations in </w:t>
      </w:r>
      <w:r w:rsidRPr="00F4637B">
        <w:rPr>
          <w:i/>
          <w:iCs/>
        </w:rPr>
        <w:t>rps</w:t>
      </w:r>
      <w:r w:rsidR="006B4013">
        <w:rPr>
          <w:i/>
          <w:iCs/>
        </w:rPr>
        <w:t xml:space="preserve">U </w:t>
      </w:r>
      <w:r w:rsidR="006B4013">
        <w:rPr>
          <w:i/>
          <w:iCs/>
        </w:rPr>
        <w:fldChar w:fldCharType="begin"/>
      </w:r>
      <w:r w:rsidR="006B4013">
        <w:rPr>
          <w:i/>
          <w:iCs/>
        </w:rPr>
        <w:instrText xml:space="preserve"> ADDIN ZOTERO_ITEM CSL_CITATION {"citationID":"oCKiMPXk","properties":{"formattedCitation":"(Basco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rsidR="006B4013">
        <w:rPr>
          <w:i/>
          <w:iCs/>
        </w:rPr>
        <w:fldChar w:fldCharType="separate"/>
      </w:r>
      <w:r w:rsidR="006B4013" w:rsidRPr="006B4013">
        <w:rPr>
          <w:noProof/>
        </w:rPr>
        <w:t>(Basco et al., 2019; Friedman et al., 2006</w:t>
      </w:r>
      <w:r w:rsidR="006B4013">
        <w:rPr>
          <w:i/>
          <w:iCs/>
          <w:noProof/>
        </w:rPr>
        <w:t>)</w:t>
      </w:r>
      <w:r w:rsidR="006B4013">
        <w:rPr>
          <w:i/>
          <w:iCs/>
        </w:rPr>
        <w:fldChar w:fldCharType="end"/>
      </w:r>
      <w:r w:rsidRPr="00F4637B">
        <w:t xml:space="preserve">. </w:t>
      </w:r>
      <w:r w:rsidR="00715B1D" w:rsidRPr="00F4637B">
        <w:t>That these two cell-wall-targeting</w:t>
      </w:r>
      <w:r w:rsidR="00715B1D">
        <w:t xml:space="preserve"> rather than ribosome-targeting</w:t>
      </w:r>
      <w:r w:rsidR="00715B1D" w:rsidRPr="00F4637B">
        <w:t xml:space="preserve"> antibiotics show an effect on a ribosomal protein is </w:t>
      </w:r>
      <w:r w:rsidR="00715B1D">
        <w:t>surprising. It</w:t>
      </w:r>
      <w:r w:rsidR="00715B1D" w:rsidRPr="00715B1D">
        <w:t xml:space="preserve"> </w:t>
      </w:r>
      <w:r w:rsidR="00715B1D" w:rsidRPr="00F4637B">
        <w:t>suggests that bS21 may be involved in the regulation of cell wall synthesis.</w:t>
      </w:r>
      <w:r w:rsidR="00715B1D">
        <w:t xml:space="preserve"> </w:t>
      </w:r>
      <w:proofErr w:type="gramStart"/>
      <w:r w:rsidRPr="00F4637B">
        <w:t>In order to</w:t>
      </w:r>
      <w:proofErr w:type="gramEnd"/>
      <w:r w:rsidRPr="00F4637B">
        <w:t xml:space="preserve"> slow down the loss of efficacy of these antibiotics, it is critical to understand the mechanism of resistance against these therapies. </w:t>
      </w:r>
    </w:p>
    <w:p w14:paraId="3BA7391F" w14:textId="1DB9FEBD" w:rsidR="00F4637B" w:rsidRPr="00F4637B" w:rsidRDefault="00F4637B" w:rsidP="009510E3">
      <w:pPr>
        <w:ind w:firstLine="720"/>
        <w:contextualSpacing/>
      </w:pPr>
    </w:p>
    <w:p w14:paraId="65236ECF" w14:textId="28E5158D" w:rsidR="007F50D6" w:rsidRDefault="007F50D6" w:rsidP="00715B1D">
      <w:pPr>
        <w:contextualSpacing/>
        <w:rPr>
          <w:b/>
          <w:bCs/>
        </w:rPr>
      </w:pPr>
      <w:r>
        <w:rPr>
          <w:b/>
          <w:bCs/>
        </w:rPr>
        <w:t>Specific Aim #2:</w:t>
      </w:r>
    </w:p>
    <w:p w14:paraId="0C0B7E9D" w14:textId="5AB8617D" w:rsidR="007F50D6" w:rsidRPr="007F50D6" w:rsidRDefault="007F50D6" w:rsidP="00715B1D">
      <w:pPr>
        <w:contextualSpacing/>
        <w:rPr>
          <w:b/>
          <w:bCs/>
        </w:rPr>
      </w:pPr>
      <w:r>
        <w:t>Does the deletion of</w:t>
      </w:r>
      <w:r w:rsidRPr="00443C27">
        <w:rPr>
          <w:i/>
          <w:iCs/>
        </w:rPr>
        <w:t xml:space="preserve"> rpsU</w:t>
      </w:r>
      <w:r>
        <w:t xml:space="preserve"> in </w:t>
      </w:r>
      <w:r w:rsidRPr="007F50D6">
        <w:rPr>
          <w:i/>
          <w:iCs/>
        </w:rPr>
        <w:t>S. aureus</w:t>
      </w:r>
      <w:r>
        <w:t xml:space="preserve"> account for an increase in cell wall thickness that could lead to antibiotic resistance?</w:t>
      </w:r>
    </w:p>
    <w:p w14:paraId="1845CE65" w14:textId="0F52B2B7" w:rsidR="00715B1D" w:rsidRDefault="00715B1D" w:rsidP="00715B1D">
      <w:pPr>
        <w:contextualSpacing/>
      </w:pPr>
      <w:r>
        <w:t xml:space="preserve">Overall strategy: </w:t>
      </w:r>
      <w:r w:rsidR="00471AC8">
        <w:t xml:space="preserve">We will begin this investigation by making a clean deletion of </w:t>
      </w:r>
      <w:r w:rsidR="00471AC8" w:rsidRPr="00471AC8">
        <w:rPr>
          <w:i/>
          <w:iCs/>
        </w:rPr>
        <w:t>rpsU</w:t>
      </w:r>
      <w:r w:rsidR="00471AC8">
        <w:t xml:space="preserve"> from </w:t>
      </w:r>
      <w:r w:rsidR="00471AC8" w:rsidRPr="00471AC8">
        <w:rPr>
          <w:i/>
          <w:iCs/>
        </w:rPr>
        <w:t>S. aureus</w:t>
      </w:r>
      <w:r w:rsidR="00471AC8">
        <w:t xml:space="preserve">. We will assess the antibiotic susceptibility profile of this mutant using disk diffusion assays against vancomycin and daptomycin. </w:t>
      </w:r>
      <w:r w:rsidR="00606F59">
        <w:t>We will investigate whether a lack of bS21 results in a thicker cell envelope using transmission electron microscopy (TEM).</w:t>
      </w:r>
    </w:p>
    <w:p w14:paraId="21939CF8" w14:textId="0E55218D" w:rsidR="00715B1D" w:rsidRPr="00715B1D" w:rsidRDefault="00715B1D" w:rsidP="00715B1D">
      <w:pPr>
        <w:contextualSpacing/>
      </w:pPr>
      <w:r>
        <w:t xml:space="preserve">Rationale: </w:t>
      </w:r>
      <w:r w:rsidR="00606F59">
        <w:t xml:space="preserve">Vancomycin and daptomycin are antibiotics that attack the bacterial cell envelope.  Strains of </w:t>
      </w:r>
      <w:r w:rsidR="00606F59" w:rsidRPr="00606F59">
        <w:rPr>
          <w:i/>
          <w:iCs/>
        </w:rPr>
        <w:t>S. aureus</w:t>
      </w:r>
      <w:r w:rsidR="00606F59">
        <w:t xml:space="preserve"> that show resistance to vancomycin and daptomycin have thicker cell walls</w:t>
      </w:r>
      <w:r w:rsidR="00255F29">
        <w:t>.</w:t>
      </w:r>
      <w:r w:rsidR="00606F59">
        <w:t xml:space="preserve"> Mutations in </w:t>
      </w:r>
      <w:r w:rsidR="00606F59" w:rsidRPr="00606F59">
        <w:rPr>
          <w:i/>
          <w:iCs/>
        </w:rPr>
        <w:t>rpsU</w:t>
      </w:r>
      <w:r w:rsidR="00606F59">
        <w:t xml:space="preserve"> have been observed in these resistant strains</w:t>
      </w:r>
      <w:r w:rsidR="00255F29">
        <w:t xml:space="preserve"> </w:t>
      </w:r>
      <w:r w:rsidR="00255F29">
        <w:fldChar w:fldCharType="begin"/>
      </w:r>
      <w:r w:rsidR="00255F29">
        <w:instrText xml:space="preserve"> ADDIN ZOTERO_ITEM CSL_CITATION {"citationID":"4H3eaVlm","properties":{"unsorted":true,"formattedCitation":"(Howden et al., 2010)","plainCitation":"(Howden et al., 2010)","noteIndex":0},"citationItems":[{"id":1027,"uris":["http://zotero.org/users/9677915/items/6UUJR5AZ"],"itemData":{"id":1027,"type":"article-journal","abstract":"Summary: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rsidR="00255F29">
        <w:fldChar w:fldCharType="separate"/>
      </w:r>
      <w:r w:rsidR="00255F29">
        <w:rPr>
          <w:noProof/>
        </w:rPr>
        <w:t>(Howden et al., 2010)</w:t>
      </w:r>
      <w:r w:rsidR="00255F29">
        <w:fldChar w:fldCharType="end"/>
      </w:r>
      <w:r w:rsidR="00606F59">
        <w:t>. We hypothesize that a loss of bS21 may result in a thicker cell envelope.</w:t>
      </w:r>
    </w:p>
    <w:p w14:paraId="58F331F4" w14:textId="77777777" w:rsidR="00C32209" w:rsidRDefault="00C32209" w:rsidP="00715B1D">
      <w:pPr>
        <w:contextualSpacing/>
        <w:rPr>
          <w:b/>
          <w:bCs/>
        </w:rPr>
      </w:pPr>
    </w:p>
    <w:p w14:paraId="41E1E762" w14:textId="16EFA724" w:rsidR="00C32209" w:rsidRDefault="00715B1D" w:rsidP="00EF6056">
      <w:pPr>
        <w:spacing w:line="240" w:lineRule="auto"/>
        <w:contextualSpacing/>
        <w:rPr>
          <w:b/>
          <w:bCs/>
        </w:rPr>
      </w:pPr>
      <w:r>
        <w:rPr>
          <w:b/>
          <w:bCs/>
        </w:rPr>
        <w:t>Methods:</w:t>
      </w:r>
    </w:p>
    <w:p w14:paraId="549A2FD8" w14:textId="6FC9B2D8" w:rsidR="00EF6056" w:rsidRDefault="00EF6056" w:rsidP="00EF6056">
      <w:pPr>
        <w:spacing w:line="240" w:lineRule="auto"/>
        <w:contextualSpacing/>
        <w:rPr>
          <w:u w:val="single"/>
        </w:rPr>
      </w:pPr>
      <w:r w:rsidRPr="00901D84">
        <w:rPr>
          <w:u w:val="single"/>
        </w:rPr>
        <w:t>Bacterial strains and growth conditions</w:t>
      </w:r>
      <w:r>
        <w:rPr>
          <w:u w:val="single"/>
        </w:rPr>
        <w:t>:</w:t>
      </w:r>
    </w:p>
    <w:p w14:paraId="3A2A4E3B" w14:textId="519583A3" w:rsidR="00EF6056" w:rsidRPr="00901D84" w:rsidRDefault="00EF6056" w:rsidP="00EF6056">
      <w:pPr>
        <w:spacing w:line="240" w:lineRule="auto"/>
        <w:contextualSpacing/>
      </w:pPr>
      <w:r w:rsidRPr="004C23CF">
        <w:rPr>
          <w:i/>
          <w:iCs/>
        </w:rPr>
        <w:lastRenderedPageBreak/>
        <w:t>Francisella tularensis</w:t>
      </w:r>
      <w:r>
        <w:t xml:space="preserve"> subspecies </w:t>
      </w:r>
      <w:proofErr w:type="spellStart"/>
      <w:r w:rsidRPr="00D40C87">
        <w:rPr>
          <w:i/>
          <w:iCs/>
        </w:rPr>
        <w:t>holarctica</w:t>
      </w:r>
      <w:proofErr w:type="spellEnd"/>
      <w:r w:rsidRPr="00D40C87">
        <w:rPr>
          <w:i/>
          <w:iCs/>
        </w:rPr>
        <w:t xml:space="preserve"> </w:t>
      </w:r>
      <w:r>
        <w:t xml:space="preserve">Live Vaccine Strain (LVS) and derivatives will be grown in Mueller-Hinton broth supplemented with 10% glucose, 2.5% iron pyrophosphate, and 2% </w:t>
      </w:r>
      <w:proofErr w:type="spellStart"/>
      <w:r>
        <w:t>IsoVitalex</w:t>
      </w:r>
      <w:proofErr w:type="spellEnd"/>
      <w:r>
        <w:t xml:space="preserve">, shaking aerobically at 37ºC. On solid medium strains will be grown on cysteine-heart agar supplemented with hemoglobin and incubated at 37ºC. </w:t>
      </w:r>
      <w:r w:rsidRPr="004C23CF">
        <w:rPr>
          <w:i/>
          <w:iCs/>
        </w:rPr>
        <w:t>E coli</w:t>
      </w:r>
      <w:r>
        <w:t xml:space="preserve"> strain XL1 Blue will be grown in lysogeny broth or agar aerobically at 37ºC. </w:t>
      </w:r>
      <w:r w:rsidRPr="00D40C87">
        <w:rPr>
          <w:i/>
          <w:iCs/>
        </w:rPr>
        <w:t>Staphylococcus aureus</w:t>
      </w:r>
      <w:r>
        <w:t xml:space="preserve"> strains will be grown in tryptic soy broth or agar aerobically at 37ºC.</w:t>
      </w:r>
    </w:p>
    <w:p w14:paraId="292476FC" w14:textId="0B232F4F" w:rsidR="00715B1D" w:rsidRDefault="00715B1D" w:rsidP="00EF6056">
      <w:pPr>
        <w:spacing w:line="240" w:lineRule="auto"/>
        <w:contextualSpacing/>
        <w:rPr>
          <w:b/>
          <w:bCs/>
        </w:rPr>
      </w:pPr>
    </w:p>
    <w:p w14:paraId="6DB492C3" w14:textId="58A2BB1B" w:rsidR="00EF6056" w:rsidRDefault="00CE421E" w:rsidP="00EF6056">
      <w:pPr>
        <w:spacing w:line="240" w:lineRule="auto"/>
        <w:contextualSpacing/>
        <w:rPr>
          <w:u w:val="single"/>
        </w:rPr>
      </w:pPr>
      <w:r>
        <w:rPr>
          <w:noProof/>
        </w:rPr>
        <w:drawing>
          <wp:anchor distT="0" distB="0" distL="114300" distR="114300" simplePos="0" relativeHeight="251662336" behindDoc="0" locked="0" layoutInCell="1" allowOverlap="1" wp14:anchorId="1A76E69C" wp14:editId="7B627EB2">
            <wp:simplePos x="0" y="0"/>
            <wp:positionH relativeFrom="margin">
              <wp:posOffset>3678919</wp:posOffset>
            </wp:positionH>
            <wp:positionV relativeFrom="margin">
              <wp:posOffset>2471701</wp:posOffset>
            </wp:positionV>
            <wp:extent cx="2143125" cy="2983230"/>
            <wp:effectExtent l="0" t="0" r="3175" b="1270"/>
            <wp:wrapSquare wrapText="bothSides"/>
            <wp:docPr id="363796923" name="Picture 8" descr="A close-up of a dn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6923" name="Picture 8" descr="A close-up of a dna tes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125" cy="2983230"/>
                    </a:xfrm>
                    <a:prstGeom prst="rect">
                      <a:avLst/>
                    </a:prstGeom>
                  </pic:spPr>
                </pic:pic>
              </a:graphicData>
            </a:graphic>
          </wp:anchor>
        </w:drawing>
      </w:r>
      <w:r w:rsidR="00EF6056" w:rsidRPr="003621C5">
        <w:rPr>
          <w:u w:val="single"/>
        </w:rPr>
        <w:t>Ribosome Profiling</w:t>
      </w:r>
      <w:r w:rsidR="003621C5">
        <w:rPr>
          <w:u w:val="single"/>
        </w:rPr>
        <w:t>:</w:t>
      </w:r>
      <w:r w:rsidR="00B16F9C" w:rsidRPr="00B16F9C">
        <w:rPr>
          <w:noProof/>
        </w:rPr>
        <w:t xml:space="preserve"> </w:t>
      </w:r>
    </w:p>
    <w:p w14:paraId="561DCCC6" w14:textId="728D79DD" w:rsidR="003621C5" w:rsidRPr="003621C5" w:rsidRDefault="003621C5" w:rsidP="003621C5">
      <w:pPr>
        <w:spacing w:line="240" w:lineRule="auto"/>
        <w:ind w:firstLine="720"/>
        <w:contextualSpacing/>
        <w:rPr>
          <w:u w:val="single"/>
        </w:rPr>
      </w:pPr>
      <w:r>
        <w:t xml:space="preserve">Before ribosome profiling can begin, isolation of the ribosome with epitope tags attached to bS21 homologs must be optimized. To that end, I have constructed four plasmids that harbor </w:t>
      </w:r>
      <w:r w:rsidRPr="003621C5">
        <w:rPr>
          <w:i/>
          <w:iCs/>
        </w:rPr>
        <w:t>rpsU2</w:t>
      </w:r>
      <w:r>
        <w:rPr>
          <w:i/>
          <w:iCs/>
        </w:rPr>
        <w:t xml:space="preserve"> </w:t>
      </w:r>
      <w:r>
        <w:t xml:space="preserve">under the control of its native promoter with a different small epitope tag attached to the 3’ end of the gene. I have confirmed the presence of each epitope tag at the site of bS21 through Western Blot. I have begun testing the efficiency of pulldown of each epitope via immunoprecipitation. Once each epitope has been evaluated, I will choose which homolog should get which tag and </w:t>
      </w:r>
      <w:r w:rsidR="00B16F9C">
        <w:t>incorporate them onto the chromosome.</w:t>
      </w:r>
    </w:p>
    <w:p w14:paraId="436F21D9" w14:textId="5F180B41" w:rsidR="00EF6056" w:rsidRDefault="00EF6056" w:rsidP="00EF6056">
      <w:pPr>
        <w:spacing w:line="240" w:lineRule="auto"/>
        <w:contextualSpacing/>
      </w:pPr>
    </w:p>
    <w:p w14:paraId="633D5906" w14:textId="2EAFA701" w:rsidR="003621C5" w:rsidRDefault="003621C5" w:rsidP="00EF6056">
      <w:pPr>
        <w:spacing w:line="240" w:lineRule="auto"/>
        <w:contextualSpacing/>
      </w:pPr>
    </w:p>
    <w:p w14:paraId="17D94211" w14:textId="49FA0035" w:rsidR="003621C5" w:rsidRDefault="003621C5" w:rsidP="00EF6056">
      <w:pPr>
        <w:spacing w:line="240" w:lineRule="auto"/>
        <w:contextualSpacing/>
      </w:pPr>
    </w:p>
    <w:p w14:paraId="12555674" w14:textId="50F20425" w:rsidR="003621C5" w:rsidRDefault="00CE421E" w:rsidP="00EF6056">
      <w:pPr>
        <w:spacing w:line="240" w:lineRule="auto"/>
        <w:contextualSpacing/>
      </w:pPr>
      <w:r>
        <w:rPr>
          <w:noProof/>
        </w:rPr>
        <mc:AlternateContent>
          <mc:Choice Requires="wps">
            <w:drawing>
              <wp:anchor distT="0" distB="0" distL="114300" distR="114300" simplePos="0" relativeHeight="251664384" behindDoc="0" locked="0" layoutInCell="1" allowOverlap="1" wp14:anchorId="7BA2177E" wp14:editId="507783A9">
                <wp:simplePos x="0" y="0"/>
                <wp:positionH relativeFrom="column">
                  <wp:posOffset>3573978</wp:posOffset>
                </wp:positionH>
                <wp:positionV relativeFrom="paragraph">
                  <wp:posOffset>163351</wp:posOffset>
                </wp:positionV>
                <wp:extent cx="2143125" cy="635"/>
                <wp:effectExtent l="0" t="0" r="3175" b="635"/>
                <wp:wrapSquare wrapText="bothSides"/>
                <wp:docPr id="1889448505" name="Text Box 1"/>
                <wp:cNvGraphicFramePr/>
                <a:graphic xmlns:a="http://schemas.openxmlformats.org/drawingml/2006/main">
                  <a:graphicData uri="http://schemas.microsoft.com/office/word/2010/wordprocessingShape">
                    <wps:wsp>
                      <wps:cNvSpPr txBox="1"/>
                      <wps:spPr>
                        <a:xfrm>
                          <a:off x="0" y="0"/>
                          <a:ext cx="2143125" cy="635"/>
                        </a:xfrm>
                        <a:prstGeom prst="rect">
                          <a:avLst/>
                        </a:prstGeom>
                        <a:solidFill>
                          <a:prstClr val="white"/>
                        </a:solidFill>
                        <a:ln>
                          <a:noFill/>
                        </a:ln>
                      </wps:spPr>
                      <wps:txbx>
                        <w:txbxContent>
                          <w:p w14:paraId="670F91F0" w14:textId="2D35DFE4" w:rsidR="00B16F9C" w:rsidRPr="004A7A9C" w:rsidRDefault="00B16F9C" w:rsidP="00B16F9C">
                            <w:pPr>
                              <w:pStyle w:val="Caption"/>
                              <w:rPr>
                                <w:noProof/>
                              </w:rPr>
                            </w:pPr>
                            <w:r>
                              <w:t xml:space="preserve">Figure </w:t>
                            </w:r>
                            <w:fldSimple w:instr=" SEQ Figure \* ARABIC ">
                              <w:r>
                                <w:rPr>
                                  <w:noProof/>
                                </w:rPr>
                                <w:t>4</w:t>
                              </w:r>
                            </w:fldSimple>
                            <w:r>
                              <w:t xml:space="preserve"> Immunoprecipitation of bS21-2 with HA epitope tag. Top: Silver Stain shows several bands in the </w:t>
                            </w:r>
                            <w:proofErr w:type="gramStart"/>
                            <w:r>
                              <w:t>Elu</w:t>
                            </w:r>
                            <w:r w:rsidR="00CE421E">
                              <w:t>ate</w:t>
                            </w:r>
                            <w:r>
                              <w:t xml:space="preserve"> lane</w:t>
                            </w:r>
                            <w:proofErr w:type="gramEnd"/>
                            <w:r w:rsidR="00CE421E">
                              <w:t xml:space="preserve"> (EL1)</w:t>
                            </w:r>
                            <w:r>
                              <w:t xml:space="preserve"> suggesting a ribosome is pulled down. Bottom: Western Blot shows bS21-2 is pulled down.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A2177E" id="_x0000_s1028" type="#_x0000_t202" style="position:absolute;margin-left:281.4pt;margin-top:12.85pt;width:168.7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" stroked="f">
                <v:textbox style="mso-fit-shape-to-text:t" inset="0,0,0,0">
                  <w:txbxContent>
                    <w:p w14:paraId="670F91F0" w14:textId="2D35DFE4" w:rsidR="00B16F9C" w:rsidRPr="004A7A9C" w:rsidRDefault="00B16F9C" w:rsidP="00B16F9C">
                      <w:pPr>
                        <w:pStyle w:val="Caption"/>
                        <w:rPr>
                          <w:noProof/>
                        </w:rPr>
                      </w:pPr>
                      <w:r>
                        <w:t xml:space="preserve">Figure </w:t>
                      </w:r>
                      <w:fldSimple w:instr=" SEQ Figure \* ARABIC ">
                        <w:r>
                          <w:rPr>
                            <w:noProof/>
                          </w:rPr>
                          <w:t>4</w:t>
                        </w:r>
                      </w:fldSimple>
                      <w:r>
                        <w:t xml:space="preserve"> Immunoprecipitation of bS21-2 with HA epitope tag. Top: Silver Stain shows several bands in the </w:t>
                      </w:r>
                      <w:proofErr w:type="gramStart"/>
                      <w:r>
                        <w:t>Elu</w:t>
                      </w:r>
                      <w:r w:rsidR="00CE421E">
                        <w:t>ate</w:t>
                      </w:r>
                      <w:r>
                        <w:t xml:space="preserve"> lane</w:t>
                      </w:r>
                      <w:proofErr w:type="gramEnd"/>
                      <w:r w:rsidR="00CE421E">
                        <w:t xml:space="preserve"> (EL1)</w:t>
                      </w:r>
                      <w:r>
                        <w:t xml:space="preserve"> suggesting a ribosome is pulled down. Bottom: Western Blot shows bS21-2 is pulled down.</w:t>
                      </w:r>
                    </w:p>
                  </w:txbxContent>
                </v:textbox>
                <w10:wrap type="square"/>
              </v:shape>
            </w:pict>
          </mc:Fallback>
        </mc:AlternateContent>
      </w:r>
    </w:p>
    <w:p w14:paraId="27879F04" w14:textId="16E63317" w:rsidR="00B16F9C" w:rsidRDefault="00B16F9C" w:rsidP="00EF6056">
      <w:pPr>
        <w:spacing w:line="240" w:lineRule="auto"/>
        <w:contextualSpacing/>
      </w:pPr>
    </w:p>
    <w:p w14:paraId="34EC5AF5" w14:textId="578D1D55" w:rsidR="00B16F9C" w:rsidRDefault="00B16F9C" w:rsidP="00EF6056">
      <w:pPr>
        <w:spacing w:line="240" w:lineRule="auto"/>
        <w:contextualSpacing/>
      </w:pPr>
    </w:p>
    <w:p w14:paraId="0AE65AE2" w14:textId="68FF022F" w:rsidR="00B16F9C" w:rsidRDefault="00B16F9C" w:rsidP="00EF6056">
      <w:pPr>
        <w:spacing w:line="240" w:lineRule="auto"/>
        <w:contextualSpacing/>
      </w:pPr>
    </w:p>
    <w:p w14:paraId="2BAE41BF" w14:textId="3EEF5F45" w:rsidR="00B16F9C" w:rsidRDefault="00B16F9C" w:rsidP="00EF6056">
      <w:pPr>
        <w:spacing w:line="240" w:lineRule="auto"/>
        <w:contextualSpacing/>
      </w:pPr>
    </w:p>
    <w:p w14:paraId="34B4C508" w14:textId="3FC8949C" w:rsidR="00B16F9C" w:rsidRDefault="00B16F9C" w:rsidP="00EF6056">
      <w:pPr>
        <w:spacing w:line="240" w:lineRule="auto"/>
        <w:contextualSpacing/>
      </w:pPr>
    </w:p>
    <w:p w14:paraId="58C74A69" w14:textId="5DB8706F" w:rsidR="00B16F9C" w:rsidRDefault="00B16F9C" w:rsidP="00EF6056">
      <w:pPr>
        <w:spacing w:line="240" w:lineRule="auto"/>
        <w:contextualSpacing/>
      </w:pPr>
    </w:p>
    <w:p w14:paraId="3EBF70DE" w14:textId="05BC8FD8" w:rsidR="00B16F9C" w:rsidRDefault="00B16F9C" w:rsidP="00EF6056">
      <w:pPr>
        <w:spacing w:line="240" w:lineRule="auto"/>
        <w:contextualSpacing/>
      </w:pPr>
    </w:p>
    <w:p w14:paraId="197267F6" w14:textId="0240D8C3" w:rsidR="00EF6056" w:rsidRDefault="00EF6056" w:rsidP="00EF6056">
      <w:pPr>
        <w:spacing w:line="240" w:lineRule="auto"/>
        <w:contextualSpacing/>
      </w:pPr>
      <w:r>
        <w:t>The following methods for ribosome profiling are based on protocols by Mohammad and Buskirk and Johnson and Li</w:t>
      </w:r>
      <w:r w:rsidR="004C25F0">
        <w:t>:</w:t>
      </w:r>
    </w:p>
    <w:p w14:paraId="550B11F2" w14:textId="77777777" w:rsidR="00EF6056" w:rsidRPr="00DD5403" w:rsidRDefault="00EF6056" w:rsidP="00EF6056">
      <w:pPr>
        <w:spacing w:line="240" w:lineRule="auto"/>
        <w:contextualSpacing/>
        <w:rPr>
          <w:b/>
          <w:bCs/>
        </w:rPr>
      </w:pPr>
    </w:p>
    <w:p w14:paraId="24BC58FE" w14:textId="77777777" w:rsidR="00EF6056" w:rsidRDefault="00EF6056" w:rsidP="00EF6056">
      <w:pPr>
        <w:spacing w:line="240" w:lineRule="auto"/>
        <w:contextualSpacing/>
        <w:rPr>
          <w:u w:val="single"/>
        </w:rPr>
      </w:pPr>
      <w:r w:rsidRPr="004C23CF">
        <w:rPr>
          <w:u w:val="single"/>
        </w:rPr>
        <w:t>Plasmid construction</w:t>
      </w:r>
      <w:r>
        <w:rPr>
          <w:u w:val="single"/>
        </w:rPr>
        <w:t>:</w:t>
      </w:r>
    </w:p>
    <w:p w14:paraId="68AEC736" w14:textId="0AC694A0" w:rsidR="00EF6056" w:rsidRDefault="00EF6056" w:rsidP="00EF6056">
      <w:pPr>
        <w:spacing w:line="240" w:lineRule="auto"/>
        <w:contextualSpacing/>
      </w:pPr>
      <w:r>
        <w:t xml:space="preserve">Plasmids for LVS complemented with each epitope tag are derived from pKR7 (pF-rpsU2-V). The epitope tag VSV-G that was situated on the 3’ end of </w:t>
      </w:r>
      <w:r w:rsidRPr="00F45827">
        <w:rPr>
          <w:i/>
          <w:iCs/>
        </w:rPr>
        <w:t>rpsU2</w:t>
      </w:r>
      <w:r>
        <w:rPr>
          <w:i/>
          <w:iCs/>
        </w:rPr>
        <w:t xml:space="preserve"> </w:t>
      </w:r>
      <w:r>
        <w:t xml:space="preserve">was deleted and replaced by each epitope at the </w:t>
      </w:r>
      <w:proofErr w:type="spellStart"/>
      <w:r>
        <w:t>EcoRI</w:t>
      </w:r>
      <w:proofErr w:type="spellEnd"/>
      <w:r>
        <w:t xml:space="preserve"> site on the 5’ end and the </w:t>
      </w:r>
      <w:proofErr w:type="spellStart"/>
      <w:r>
        <w:t>BamHI</w:t>
      </w:r>
      <w:proofErr w:type="spellEnd"/>
      <w:r>
        <w:t xml:space="preserve"> site on the 3’ end. </w:t>
      </w:r>
    </w:p>
    <w:p w14:paraId="6507429B" w14:textId="6F95D083" w:rsidR="004C25F0" w:rsidRDefault="00CE421E" w:rsidP="00EF6056">
      <w:pPr>
        <w:spacing w:line="240" w:lineRule="auto"/>
        <w:contextualSpacing/>
      </w:pPr>
      <w:r>
        <w:rPr>
          <w:noProof/>
        </w:rPr>
        <w:lastRenderedPageBreak/>
        <w:drawing>
          <wp:anchor distT="0" distB="0" distL="114300" distR="114300" simplePos="0" relativeHeight="251658240" behindDoc="1" locked="0" layoutInCell="1" allowOverlap="1" wp14:anchorId="787D380E" wp14:editId="2F09A3A1">
            <wp:simplePos x="0" y="0"/>
            <wp:positionH relativeFrom="column">
              <wp:posOffset>944328</wp:posOffset>
            </wp:positionH>
            <wp:positionV relativeFrom="paragraph">
              <wp:posOffset>439888</wp:posOffset>
            </wp:positionV>
            <wp:extent cx="4278630" cy="1731010"/>
            <wp:effectExtent l="0" t="0" r="1270" b="0"/>
            <wp:wrapTight wrapText="bothSides">
              <wp:wrapPolygon edited="0">
                <wp:start x="0" y="0"/>
                <wp:lineTo x="0" y="21394"/>
                <wp:lineTo x="21542" y="21394"/>
                <wp:lineTo x="21542" y="0"/>
                <wp:lineTo x="0" y="0"/>
              </wp:wrapPolygon>
            </wp:wrapTight>
            <wp:docPr id="295955964" name="Picture 7" descr="A diagram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55964" name="Picture 7" descr="A diagram of a ma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8630" cy="1731010"/>
                    </a:xfrm>
                    <a:prstGeom prst="rect">
                      <a:avLst/>
                    </a:prstGeom>
                  </pic:spPr>
                </pic:pic>
              </a:graphicData>
            </a:graphic>
            <wp14:sizeRelH relativeFrom="page">
              <wp14:pctWidth>0</wp14:pctWidth>
            </wp14:sizeRelH>
            <wp14:sizeRelV relativeFrom="page">
              <wp14:pctHeight>0</wp14:pctHeight>
            </wp14:sizeRelV>
          </wp:anchor>
        </w:drawing>
      </w:r>
    </w:p>
    <w:tbl>
      <w:tblPr>
        <w:tblW w:w="3291" w:type="dxa"/>
        <w:tblCellMar>
          <w:left w:w="0" w:type="dxa"/>
          <w:right w:w="0" w:type="dxa"/>
        </w:tblCellMar>
        <w:tblLook w:val="0420" w:firstRow="1" w:lastRow="0" w:firstColumn="0" w:lastColumn="0" w:noHBand="0" w:noVBand="1"/>
      </w:tblPr>
      <w:tblGrid>
        <w:gridCol w:w="1129"/>
        <w:gridCol w:w="1090"/>
        <w:gridCol w:w="1072"/>
      </w:tblGrid>
      <w:tr w:rsidR="004C25F0" w:rsidRPr="004C25F0" w14:paraId="2DFF77BF"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670342"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Epitope Tag</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F4E2AE"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 xml:space="preserve">Size </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A8EFAD"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Plasmid</w:t>
            </w:r>
          </w:p>
        </w:tc>
      </w:tr>
      <w:tr w:rsidR="004C25F0" w:rsidRPr="004C25F0" w14:paraId="4CBDAB7B"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A1B833"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HA</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243FE4"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1.1 kDa</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B3CC9E"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pKR192</w:t>
            </w:r>
          </w:p>
        </w:tc>
      </w:tr>
      <w:tr w:rsidR="004C25F0" w:rsidRPr="004C25F0" w14:paraId="2B10A93D"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85E9C" w14:textId="3641C976" w:rsidR="004C25F0" w:rsidRPr="004C25F0" w:rsidRDefault="004C25F0" w:rsidP="004C25F0">
            <w:pPr>
              <w:spacing w:after="0" w:line="240" w:lineRule="auto"/>
              <w:rPr>
                <w:rFonts w:ascii="Arial" w:eastAsia="Times New Roman" w:hAnsi="Arial" w:cs="Arial"/>
                <w:kern w:val="0"/>
                <w14:ligatures w14:val="none"/>
              </w:rPr>
            </w:pPr>
            <w:r>
              <w:rPr>
                <w:rFonts w:ascii="Calibri" w:eastAsia="Times New Roman" w:hAnsi="Calibri" w:cs="Calibri"/>
                <w:color w:val="000000"/>
                <w:kern w:val="24"/>
                <w14:ligatures w14:val="none"/>
              </w:rPr>
              <w:t>6X</w:t>
            </w:r>
            <w:r w:rsidR="00543D20">
              <w:rPr>
                <w:rFonts w:ascii="Calibri" w:eastAsia="Times New Roman" w:hAnsi="Calibri" w:cs="Calibri"/>
                <w:color w:val="000000"/>
                <w:kern w:val="24"/>
                <w14:ligatures w14:val="none"/>
              </w:rPr>
              <w:t xml:space="preserve"> </w:t>
            </w:r>
            <w:r w:rsidRPr="004C25F0">
              <w:rPr>
                <w:rFonts w:ascii="Calibri" w:eastAsia="Times New Roman" w:hAnsi="Calibri" w:cs="Calibri"/>
                <w:color w:val="000000"/>
                <w:kern w:val="24"/>
                <w14:ligatures w14:val="none"/>
              </w:rPr>
              <w:t>His</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0240BD"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0.8 kDa</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7A8A18"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pKR193</w:t>
            </w:r>
          </w:p>
        </w:tc>
      </w:tr>
      <w:tr w:rsidR="004C25F0" w:rsidRPr="004C25F0" w14:paraId="5B6B5249"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395FEE"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FLAG</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1EDF9"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1 kDa</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B3525B"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pKR194</w:t>
            </w:r>
          </w:p>
        </w:tc>
      </w:tr>
      <w:tr w:rsidR="004C25F0" w:rsidRPr="004C25F0" w14:paraId="3BAF9A8F" w14:textId="77777777" w:rsidTr="004C25F0">
        <w:trPr>
          <w:trHeight w:val="37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40A392"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V5</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CFE4D8"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1.4 kDa</w:t>
            </w:r>
          </w:p>
        </w:tc>
        <w:tc>
          <w:tcPr>
            <w:tcW w:w="10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8AECEA" w14:textId="77777777" w:rsidR="004C25F0" w:rsidRPr="004C25F0" w:rsidRDefault="004C25F0" w:rsidP="004C25F0">
            <w:pPr>
              <w:spacing w:after="0" w:line="240" w:lineRule="auto"/>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pKR195</w:t>
            </w:r>
          </w:p>
        </w:tc>
      </w:tr>
    </w:tbl>
    <w:p w14:paraId="43D99CB2" w14:textId="443AF90D" w:rsidR="004C25F0" w:rsidRPr="003022CE" w:rsidRDefault="004C25F0" w:rsidP="004C25F0">
      <w:pPr>
        <w:pStyle w:val="Caption"/>
      </w:pPr>
      <w:r>
        <w:t xml:space="preserve">Table </w:t>
      </w:r>
      <w:fldSimple w:instr=" SEQ Table \* ARABIC ">
        <w:r>
          <w:rPr>
            <w:noProof/>
          </w:rPr>
          <w:t>1</w:t>
        </w:r>
      </w:fldSimple>
      <w:r>
        <w:t xml:space="preserve"> Selected epitope tags to be tested for pulldown efficiency of </w:t>
      </w:r>
      <w:proofErr w:type="gramStart"/>
      <w:r>
        <w:t>immunoprecipitation</w:t>
      </w:r>
      <w:proofErr w:type="gramEnd"/>
    </w:p>
    <w:p w14:paraId="141D52A3" w14:textId="77777777" w:rsidR="00EF6056" w:rsidRPr="004C23CF" w:rsidRDefault="00EF6056" w:rsidP="00EF6056">
      <w:pPr>
        <w:spacing w:line="240" w:lineRule="auto"/>
        <w:contextualSpacing/>
        <w:rPr>
          <w:u w:val="single"/>
        </w:rPr>
      </w:pPr>
      <w:r w:rsidRPr="004C23CF">
        <w:rPr>
          <w:u w:val="single"/>
        </w:rPr>
        <w:t xml:space="preserve"> </w:t>
      </w:r>
    </w:p>
    <w:p w14:paraId="43F7FFE5" w14:textId="5E892CE6" w:rsidR="00EF6056" w:rsidRDefault="00EF6056" w:rsidP="00EF6056">
      <w:pPr>
        <w:spacing w:line="240" w:lineRule="auto"/>
        <w:contextualSpacing/>
        <w:rPr>
          <w:u w:val="single"/>
        </w:rPr>
      </w:pPr>
      <w:r>
        <w:rPr>
          <w:u w:val="single"/>
        </w:rPr>
        <w:t>Lysates:</w:t>
      </w:r>
    </w:p>
    <w:p w14:paraId="1C20D560" w14:textId="77777777" w:rsidR="00EF6056" w:rsidRDefault="00EF6056" w:rsidP="00EF6056">
      <w:pPr>
        <w:spacing w:line="240" w:lineRule="auto"/>
        <w:contextualSpacing/>
      </w:pPr>
      <w:r>
        <w:t>Strains of LVS pF-</w:t>
      </w:r>
      <w:r w:rsidRPr="00D40C87">
        <w:rPr>
          <w:i/>
          <w:iCs/>
        </w:rPr>
        <w:t>rpsU2</w:t>
      </w:r>
      <w:r>
        <w:t>-epitope tags were pelleted by spinning overnight cultures at 4ºC. Lysates were prepared by resuspending the pellets in Buffer A + PI +BB with DNase, filtering the lysates, and then adding 100mM NH4Cl, and 0.1% NP-40.</w:t>
      </w:r>
    </w:p>
    <w:p w14:paraId="32A68DE8" w14:textId="77777777" w:rsidR="00EF6056" w:rsidRPr="00666E8C" w:rsidRDefault="00EF6056" w:rsidP="00EF6056">
      <w:pPr>
        <w:spacing w:line="240" w:lineRule="auto"/>
        <w:contextualSpacing/>
      </w:pPr>
    </w:p>
    <w:p w14:paraId="3A9EC271" w14:textId="77777777" w:rsidR="00EF6056" w:rsidRDefault="00EF6056" w:rsidP="00EF6056">
      <w:pPr>
        <w:spacing w:line="240" w:lineRule="auto"/>
        <w:contextualSpacing/>
        <w:rPr>
          <w:u w:val="single"/>
        </w:rPr>
      </w:pPr>
      <w:r>
        <w:rPr>
          <w:u w:val="single"/>
        </w:rPr>
        <w:t>Sucrose Cushion:</w:t>
      </w:r>
    </w:p>
    <w:p w14:paraId="779635A0" w14:textId="77777777" w:rsidR="00EF6056" w:rsidRPr="007A57AE" w:rsidRDefault="00EF6056" w:rsidP="00EF6056">
      <w:pPr>
        <w:spacing w:line="240" w:lineRule="auto"/>
        <w:contextualSpacing/>
      </w:pPr>
      <w:r>
        <w:t xml:space="preserve">We will pre-clear the lysate by spinning at 9000 x g for 10 minutes at 4ºC. We will later 22ml of lysate on top of pre-chilled pelleting buffer twice. We will spin samples at 60,000 rpm for 1.5 hours at 4ºC using a </w:t>
      </w:r>
      <w:proofErr w:type="spellStart"/>
      <w:r>
        <w:t>Ti</w:t>
      </w:r>
      <w:proofErr w:type="spellEnd"/>
      <w:r>
        <w:t xml:space="preserve"> 70 rotor. We will remove the supernatant and wash the pellet in 150ul of pre-chilled resuspension buffer. We will add 100ul of resuspension buffer to the resuspended pellet and gently vortex for 5 minutes until it is fully dissolved. We will measure the A</w:t>
      </w:r>
      <w:r>
        <w:rPr>
          <w:vertAlign w:val="subscript"/>
        </w:rPr>
        <w:t>260</w:t>
      </w:r>
      <w:r>
        <w:t xml:space="preserve"> of a 1:100 dilution and calculate the volume needed for 12.5 AU.</w:t>
      </w:r>
    </w:p>
    <w:p w14:paraId="58942D64" w14:textId="77777777" w:rsidR="00EF6056" w:rsidRPr="00476661" w:rsidRDefault="00EF6056" w:rsidP="00EF6056">
      <w:pPr>
        <w:spacing w:line="240" w:lineRule="auto"/>
        <w:contextualSpacing/>
      </w:pPr>
    </w:p>
    <w:p w14:paraId="479E2F51" w14:textId="77777777" w:rsidR="00EF6056" w:rsidRDefault="00EF6056" w:rsidP="00EF6056">
      <w:pPr>
        <w:spacing w:line="240" w:lineRule="auto"/>
        <w:contextualSpacing/>
        <w:rPr>
          <w:u w:val="single"/>
        </w:rPr>
      </w:pPr>
      <w:r w:rsidRPr="00476661">
        <w:rPr>
          <w:u w:val="single"/>
        </w:rPr>
        <w:t>Nuclease Digestion:</w:t>
      </w:r>
    </w:p>
    <w:p w14:paraId="1A8A1609" w14:textId="77777777" w:rsidR="00EF6056" w:rsidRPr="00476661" w:rsidRDefault="00EF6056" w:rsidP="00EF6056">
      <w:pPr>
        <w:spacing w:line="240" w:lineRule="auto"/>
        <w:contextualSpacing/>
      </w:pPr>
      <w:r>
        <w:t xml:space="preserve">To the 200ul sample of 12.5 AU we will add 6 </w:t>
      </w:r>
      <w:proofErr w:type="spellStart"/>
      <w:r>
        <w:t>ul</w:t>
      </w:r>
      <w:proofErr w:type="spellEnd"/>
      <w:r>
        <w:t xml:space="preserve"> of </w:t>
      </w:r>
      <w:proofErr w:type="spellStart"/>
      <w:r>
        <w:t>SUPERase</w:t>
      </w:r>
      <w:proofErr w:type="spellEnd"/>
      <w:r>
        <w:t xml:space="preserve">-in, 2 </w:t>
      </w:r>
      <w:proofErr w:type="spellStart"/>
      <w:r>
        <w:t>ul</w:t>
      </w:r>
      <w:proofErr w:type="spellEnd"/>
      <w:r>
        <w:t xml:space="preserve"> of 375 U/</w:t>
      </w:r>
      <w:proofErr w:type="spellStart"/>
      <w:r>
        <w:t>ul</w:t>
      </w:r>
      <w:proofErr w:type="spellEnd"/>
      <w:r>
        <w:t xml:space="preserve"> </w:t>
      </w:r>
      <w:proofErr w:type="spellStart"/>
      <w:r>
        <w:t>MNase</w:t>
      </w:r>
      <w:proofErr w:type="spellEnd"/>
      <w:r>
        <w:t>. And incubate for 1 hour shaking (1400 rpm on thermomixer) at 25ºC. The reaction will be quenched with 2ul of 0.5M EDTA pH 8.</w:t>
      </w:r>
    </w:p>
    <w:p w14:paraId="3E7C286B" w14:textId="77777777" w:rsidR="00EF6056" w:rsidRDefault="00EF6056" w:rsidP="00EF6056">
      <w:pPr>
        <w:spacing w:line="240" w:lineRule="auto"/>
        <w:contextualSpacing/>
      </w:pPr>
    </w:p>
    <w:p w14:paraId="3C275FD9" w14:textId="77777777" w:rsidR="00EF6056" w:rsidRPr="00666E8C" w:rsidRDefault="00EF6056" w:rsidP="00EF6056">
      <w:pPr>
        <w:spacing w:line="240" w:lineRule="auto"/>
        <w:contextualSpacing/>
        <w:rPr>
          <w:u w:val="single"/>
        </w:rPr>
      </w:pPr>
      <w:r w:rsidRPr="00666E8C">
        <w:rPr>
          <w:u w:val="single"/>
        </w:rPr>
        <w:t>Immunoprecipitation:</w:t>
      </w:r>
    </w:p>
    <w:p w14:paraId="4D94CC8A" w14:textId="77777777" w:rsidR="00EF6056" w:rsidRDefault="00EF6056" w:rsidP="00EF6056">
      <w:pPr>
        <w:spacing w:line="240" w:lineRule="auto"/>
        <w:contextualSpacing/>
      </w:pPr>
      <w:r>
        <w:lastRenderedPageBreak/>
        <w:t xml:space="preserve">For each bS21 homolog with their respective epitope tags, the samples will be immunoprecipitated with magnetic beads. Beads are resuspended in storage solution and then washed two to three times in Buffer B. Sample are added to the beads and incubated rocking at 4ºC for one hour. After incubation, beads are washed two to three times with Buffer B. </w:t>
      </w:r>
      <w:proofErr w:type="gramStart"/>
      <w:r>
        <w:t>Flow-throughs</w:t>
      </w:r>
      <w:proofErr w:type="gramEnd"/>
      <w:r>
        <w:t xml:space="preserve"> are collected after each wash step. The beads are incubated in Elution Buffer rocking at 4ºC for 5 minutes or at 37ºC for 10 minutes. Eluates are collected. Samples are analyzed via Coomassie Stain, Silver Stain and Western Blot.</w:t>
      </w:r>
    </w:p>
    <w:p w14:paraId="6077B9A0" w14:textId="77777777" w:rsidR="00EF6056" w:rsidRDefault="00EF6056" w:rsidP="00EF6056">
      <w:pPr>
        <w:spacing w:line="240" w:lineRule="auto"/>
        <w:contextualSpacing/>
      </w:pPr>
    </w:p>
    <w:p w14:paraId="6C1913C0" w14:textId="77777777" w:rsidR="00EF6056" w:rsidRPr="004D5FDF" w:rsidRDefault="00EF6056" w:rsidP="00EF6056">
      <w:pPr>
        <w:spacing w:line="240" w:lineRule="auto"/>
        <w:contextualSpacing/>
        <w:rPr>
          <w:u w:val="single"/>
        </w:rPr>
      </w:pPr>
      <w:r w:rsidRPr="004D5FDF">
        <w:rPr>
          <w:u w:val="single"/>
        </w:rPr>
        <w:t>Sucrose Gradients:</w:t>
      </w:r>
    </w:p>
    <w:p w14:paraId="1917AAC8" w14:textId="77777777" w:rsidR="00EF6056" w:rsidRDefault="00EF6056" w:rsidP="00EF6056">
      <w:pPr>
        <w:spacing w:line="240" w:lineRule="auto"/>
        <w:contextualSpacing/>
      </w:pPr>
      <w:r>
        <w:t>For the ribosomes with no bS21 homologs, we will purify 70S ribosomes by diluting immunoprecipitation samples to 0.6 ug/</w:t>
      </w:r>
      <w:proofErr w:type="spellStart"/>
      <w:r>
        <w:t>ul</w:t>
      </w:r>
      <w:proofErr w:type="spellEnd"/>
      <w:r>
        <w:t>. We will fill SW41 tubes with about 8 ml of 10% (light) sucrose solution over 50% (heavy) sucrose solution. We will layer 200ul of sample on top of the sucrose solutions and centrifuge at 40,000 rpm for 4 hours at 4ºC, using 5 for acceleration and deceleration. We will collect fractions at 350ul.</w:t>
      </w:r>
    </w:p>
    <w:p w14:paraId="3BFF8237" w14:textId="77777777" w:rsidR="00EF6056" w:rsidRDefault="00EF6056" w:rsidP="00EF6056">
      <w:pPr>
        <w:spacing w:line="240" w:lineRule="auto"/>
        <w:contextualSpacing/>
      </w:pPr>
    </w:p>
    <w:p w14:paraId="54333D5D" w14:textId="77777777" w:rsidR="00EF6056" w:rsidRDefault="00EF6056" w:rsidP="00EF6056">
      <w:pPr>
        <w:spacing w:line="240" w:lineRule="auto"/>
        <w:contextualSpacing/>
        <w:rPr>
          <w:u w:val="single"/>
        </w:rPr>
      </w:pPr>
      <w:r w:rsidRPr="00D816DE">
        <w:rPr>
          <w:u w:val="single"/>
        </w:rPr>
        <w:t>RNA Extraction</w:t>
      </w:r>
      <w:r>
        <w:rPr>
          <w:u w:val="single"/>
        </w:rPr>
        <w:t xml:space="preserve"> (phenol-chloroform)</w:t>
      </w:r>
      <w:r w:rsidRPr="00D816DE">
        <w:rPr>
          <w:u w:val="single"/>
        </w:rPr>
        <w:t>:</w:t>
      </w:r>
    </w:p>
    <w:p w14:paraId="4CC5FA44" w14:textId="77777777" w:rsidR="00EF6056" w:rsidRDefault="00EF6056" w:rsidP="00EF6056">
      <w:pPr>
        <w:spacing w:line="240" w:lineRule="auto"/>
        <w:contextualSpacing/>
      </w:pPr>
      <w:r>
        <w:t xml:space="preserve">We will pre-warm 750ul of phenol to 65ºC. We will add 57.1 </w:t>
      </w:r>
      <w:proofErr w:type="spellStart"/>
      <w:r>
        <w:t>ul</w:t>
      </w:r>
      <w:proofErr w:type="spellEnd"/>
      <w:r>
        <w:t xml:space="preserve"> of 20% SDS to 1 ml of sample and add it to the warm phenol. We will incubate the sample at 1400 rpm in the thermomixer at 65ºC for 5 minutes shaking. We will then chill the samples on ice for 5 minutes before spinning the samples for 2 minutes. We will add the bottom aqueous layer and add it to 700 </w:t>
      </w:r>
      <w:proofErr w:type="spellStart"/>
      <w:r>
        <w:t>ul</w:t>
      </w:r>
      <w:proofErr w:type="spellEnd"/>
      <w:r>
        <w:t xml:space="preserve"> of RT phenol. We will vortex the sample for 5 minutes, then spin it for 2 minutes. We will take the bottom aqueous layer and add it to 600 </w:t>
      </w:r>
      <w:proofErr w:type="spellStart"/>
      <w:r>
        <w:t>ul</w:t>
      </w:r>
      <w:proofErr w:type="spellEnd"/>
      <w:r>
        <w:t xml:space="preserve"> chloroform. We will vortex the sample for 30 seconds then spin it for 2 minutes. We will take the top aqueous layer and </w:t>
      </w:r>
      <w:proofErr w:type="spellStart"/>
      <w:r>
        <w:t>and</w:t>
      </w:r>
      <w:proofErr w:type="spellEnd"/>
      <w:r>
        <w:t xml:space="preserve"> dilute 1:1 volume with </w:t>
      </w:r>
      <w:proofErr w:type="spellStart"/>
      <w:r>
        <w:t>MilliQ</w:t>
      </w:r>
      <w:proofErr w:type="spellEnd"/>
      <w:r>
        <w:t xml:space="preserve"> water. We will add 3 M sodium acetate and equal volume of isopropanol. We will precipitate the RNA overnight in -20ºC. We will spin the sample at 12000 x g for 30 minutes at 4ºC. After removing as much liquid as possible, we will let air dry in the hood. We will resuspend the samples in 40ul of </w:t>
      </w:r>
      <w:proofErr w:type="spellStart"/>
      <w:r>
        <w:t>MilliQ</w:t>
      </w:r>
      <w:proofErr w:type="spellEnd"/>
      <w:r>
        <w:t xml:space="preserve"> water and measure the A</w:t>
      </w:r>
      <w:r>
        <w:rPr>
          <w:vertAlign w:val="subscript"/>
        </w:rPr>
        <w:t>260</w:t>
      </w:r>
      <w:r>
        <w:t xml:space="preserve">. </w:t>
      </w:r>
    </w:p>
    <w:p w14:paraId="621EE89B" w14:textId="77777777" w:rsidR="00EF6056" w:rsidRPr="002C0782" w:rsidRDefault="00EF6056" w:rsidP="00EF6056">
      <w:pPr>
        <w:spacing w:line="240" w:lineRule="auto"/>
        <w:contextualSpacing/>
      </w:pPr>
    </w:p>
    <w:p w14:paraId="56CE5D58" w14:textId="77777777" w:rsidR="00EF6056" w:rsidRDefault="00EF6056" w:rsidP="00EF6056">
      <w:pPr>
        <w:spacing w:line="240" w:lineRule="auto"/>
        <w:contextualSpacing/>
        <w:rPr>
          <w:u w:val="single"/>
        </w:rPr>
      </w:pPr>
      <w:r>
        <w:rPr>
          <w:u w:val="single"/>
        </w:rPr>
        <w:t>Size Selection:</w:t>
      </w:r>
    </w:p>
    <w:p w14:paraId="45DFED68" w14:textId="77777777" w:rsidR="00EF6056" w:rsidRDefault="00EF6056" w:rsidP="00EF6056">
      <w:pPr>
        <w:spacing w:line="240" w:lineRule="auto"/>
        <w:contextualSpacing/>
      </w:pPr>
      <w:r>
        <w:t xml:space="preserve">We will prepare 20 ug of sample to run on a gel. We will heat the samples and the ladder at 80ºC for 2 minutes, then put them on ice. We will prepare 15% TBE Urea 1.0 mm (12 + 2) 45 </w:t>
      </w:r>
      <w:proofErr w:type="spellStart"/>
      <w:r>
        <w:t>ul</w:t>
      </w:r>
      <w:proofErr w:type="spellEnd"/>
      <w:r>
        <w:t xml:space="preserve"> gel. We will run samples at 15W for 17 minutes, then remove gels from plates and place in SYBR-gold stain for 5 minutes. We will remove the gel from the stain and place on transparency film, and cover with saran wrap. We will image the gel using fluorescence setting for SYBR-gold. We will cut out 15nt and 45nt markers to be used as controls. We will elute the sample by crushing the gel cutout into PCR tubes with holes at the bottom set into a microfuge tube for collection. We will spin the gels for 5 minutes (what speed?) until the entire gel exudes out the bottom.</w:t>
      </w:r>
    </w:p>
    <w:p w14:paraId="3AA392F6" w14:textId="77777777" w:rsidR="00EF6056" w:rsidRDefault="00EF6056" w:rsidP="00EF6056">
      <w:pPr>
        <w:spacing w:line="240" w:lineRule="auto"/>
        <w:contextualSpacing/>
      </w:pPr>
    </w:p>
    <w:p w14:paraId="3049BB96" w14:textId="77777777" w:rsidR="00EF6056" w:rsidRDefault="00EF6056" w:rsidP="00EF6056">
      <w:pPr>
        <w:spacing w:line="240" w:lineRule="auto"/>
        <w:contextualSpacing/>
        <w:rPr>
          <w:u w:val="single"/>
        </w:rPr>
      </w:pPr>
      <w:r w:rsidRPr="005D5122">
        <w:rPr>
          <w:u w:val="single"/>
        </w:rPr>
        <w:t>Gel Extraction/Dephosphorylation:</w:t>
      </w:r>
    </w:p>
    <w:p w14:paraId="17AE49A1" w14:textId="77777777" w:rsidR="00EF6056" w:rsidRPr="005D5122" w:rsidRDefault="00EF6056" w:rsidP="00EF6056">
      <w:pPr>
        <w:spacing w:line="240" w:lineRule="auto"/>
        <w:contextualSpacing/>
      </w:pPr>
      <w:r>
        <w:t xml:space="preserve">To the eluates from the size selection </w:t>
      </w:r>
      <w:proofErr w:type="gramStart"/>
      <w:r>
        <w:t>gel</w:t>
      </w:r>
      <w:proofErr w:type="gramEnd"/>
      <w:r>
        <w:t xml:space="preserve"> we will add 500 </w:t>
      </w:r>
      <w:proofErr w:type="spellStart"/>
      <w:r>
        <w:t>ul</w:t>
      </w:r>
      <w:proofErr w:type="spellEnd"/>
      <w:r>
        <w:t xml:space="preserve"> of RNA Elution Buffer and 2.5 </w:t>
      </w:r>
      <w:proofErr w:type="spellStart"/>
      <w:r>
        <w:t>ul</w:t>
      </w:r>
      <w:proofErr w:type="spellEnd"/>
      <w:r>
        <w:t xml:space="preserve"> of </w:t>
      </w:r>
      <w:proofErr w:type="spellStart"/>
      <w:r>
        <w:t>SUPERase</w:t>
      </w:r>
      <w:proofErr w:type="spellEnd"/>
      <w:r>
        <w:t xml:space="preserve">-Inhibitor. We will shake the samples overnight in a Thermomixer at 1400 rpm at 4ºC. We will briefly spin the samples and transfer the gel slurry to Spin-X columns and spin at 20,000 x g for 3 minutes at room temperature. We will put each eluate into a new 1.5 ml tube and add </w:t>
      </w:r>
      <w:r>
        <w:lastRenderedPageBreak/>
        <w:t xml:space="preserve">2 </w:t>
      </w:r>
      <w:proofErr w:type="spellStart"/>
      <w:r>
        <w:t>ul</w:t>
      </w:r>
      <w:proofErr w:type="spellEnd"/>
      <w:r>
        <w:t xml:space="preserve"> of </w:t>
      </w:r>
      <w:proofErr w:type="spellStart"/>
      <w:r>
        <w:t>GlycoBlue</w:t>
      </w:r>
      <w:proofErr w:type="spellEnd"/>
      <w:r>
        <w:t xml:space="preserve"> and 650 </w:t>
      </w:r>
      <w:proofErr w:type="spellStart"/>
      <w:r>
        <w:t>ul</w:t>
      </w:r>
      <w:proofErr w:type="spellEnd"/>
      <w:r>
        <w:t xml:space="preserve"> of isopropanol. We will precipitate the samples on dry ice for 40 minutes, then spin them at 10,000 x g for 30 minutes at 4ºC. We will remove the supernatant and wash with about 100 </w:t>
      </w:r>
      <w:proofErr w:type="spellStart"/>
      <w:r>
        <w:t>ul</w:t>
      </w:r>
      <w:proofErr w:type="spellEnd"/>
      <w:r>
        <w:t xml:space="preserve"> of 80% cold ethanol. We will dry the pellets in a speed vac for 10 minutes, then resuspend the pellet in 5 </w:t>
      </w:r>
      <w:proofErr w:type="spellStart"/>
      <w:r>
        <w:t>ul</w:t>
      </w:r>
      <w:proofErr w:type="spellEnd"/>
      <w:r>
        <w:t xml:space="preserve"> of </w:t>
      </w:r>
      <w:proofErr w:type="spellStart"/>
      <w:r>
        <w:t>MilliQ</w:t>
      </w:r>
      <w:proofErr w:type="spellEnd"/>
      <w:r>
        <w:t xml:space="preserve"> water. To dephosphorylate the samples, we will heat the samples at 80ºC for 2 minutes and then put them in ice. We will add 4 </w:t>
      </w:r>
      <w:proofErr w:type="spellStart"/>
      <w:r>
        <w:t>ul</w:t>
      </w:r>
      <w:proofErr w:type="spellEnd"/>
      <w:r>
        <w:t xml:space="preserve"> of Reaction Mix, and 1 </w:t>
      </w:r>
      <w:proofErr w:type="spellStart"/>
      <w:r>
        <w:t>ul</w:t>
      </w:r>
      <w:proofErr w:type="spellEnd"/>
      <w:r>
        <w:t xml:space="preserve"> of PNK, then incubate at 37ºC for one hour.</w:t>
      </w:r>
    </w:p>
    <w:p w14:paraId="144B5AB1" w14:textId="77777777" w:rsidR="00EF6056" w:rsidRDefault="00EF6056" w:rsidP="00EF6056">
      <w:pPr>
        <w:spacing w:line="240" w:lineRule="auto"/>
        <w:contextualSpacing/>
      </w:pPr>
    </w:p>
    <w:p w14:paraId="29E2EA6E" w14:textId="77777777" w:rsidR="00EF6056" w:rsidRDefault="00EF6056" w:rsidP="00EF6056">
      <w:pPr>
        <w:spacing w:line="240" w:lineRule="auto"/>
        <w:contextualSpacing/>
        <w:rPr>
          <w:u w:val="single"/>
        </w:rPr>
      </w:pPr>
      <w:r w:rsidRPr="008451C2">
        <w:rPr>
          <w:u w:val="single"/>
        </w:rPr>
        <w:t>Linker Ligation:</w:t>
      </w:r>
    </w:p>
    <w:p w14:paraId="0148454C" w14:textId="77777777" w:rsidR="00EF6056" w:rsidRDefault="00EF6056" w:rsidP="00EF6056">
      <w:pPr>
        <w:spacing w:line="240" w:lineRule="auto"/>
        <w:contextualSpacing/>
      </w:pPr>
      <w:r>
        <w:t xml:space="preserve">We will add 9 </w:t>
      </w:r>
      <w:proofErr w:type="spellStart"/>
      <w:r>
        <w:t>ul</w:t>
      </w:r>
      <w:proofErr w:type="spellEnd"/>
      <w:r>
        <w:t xml:space="preserve"> of Ligation Reaction Mix and 1 </w:t>
      </w:r>
      <w:proofErr w:type="spellStart"/>
      <w:r>
        <w:t>ul</w:t>
      </w:r>
      <w:proofErr w:type="spellEnd"/>
      <w:r>
        <w:t xml:space="preserve"> of T4 RNA ligase 2 truncated to the samples and incubate at 37ºC for 3 hours. We will clean up the samples with oligo and concentration kit and elute the samples in 15 </w:t>
      </w:r>
      <w:proofErr w:type="spellStart"/>
      <w:r>
        <w:t>ul</w:t>
      </w:r>
      <w:proofErr w:type="spellEnd"/>
      <w:r>
        <w:t xml:space="preserve"> </w:t>
      </w:r>
      <w:proofErr w:type="spellStart"/>
      <w:r>
        <w:t>MilliQ</w:t>
      </w:r>
      <w:proofErr w:type="spellEnd"/>
      <w:r>
        <w:t xml:space="preserve"> water.</w:t>
      </w:r>
    </w:p>
    <w:p w14:paraId="4C972516" w14:textId="77777777" w:rsidR="00EF6056" w:rsidRDefault="00EF6056" w:rsidP="00EF6056">
      <w:pPr>
        <w:spacing w:line="240" w:lineRule="auto"/>
        <w:contextualSpacing/>
      </w:pPr>
    </w:p>
    <w:p w14:paraId="5D76AAD6" w14:textId="77777777" w:rsidR="00EF6056" w:rsidRPr="00B57571" w:rsidRDefault="00EF6056" w:rsidP="00EF6056">
      <w:pPr>
        <w:spacing w:line="240" w:lineRule="auto"/>
        <w:contextualSpacing/>
        <w:rPr>
          <w:u w:val="single"/>
        </w:rPr>
      </w:pPr>
      <w:r w:rsidRPr="00B57571">
        <w:rPr>
          <w:u w:val="single"/>
        </w:rPr>
        <w:t>rRNA Depletion:</w:t>
      </w:r>
    </w:p>
    <w:p w14:paraId="2C84C3FC" w14:textId="77777777" w:rsidR="00EF6056" w:rsidRDefault="00EF6056" w:rsidP="00EF6056">
      <w:pPr>
        <w:spacing w:line="240" w:lineRule="auto"/>
        <w:contextualSpacing/>
      </w:pPr>
      <w:r>
        <w:t xml:space="preserve">We will use the Illumina </w:t>
      </w:r>
      <w:proofErr w:type="spellStart"/>
      <w:r>
        <w:t>Ribo</w:t>
      </w:r>
      <w:proofErr w:type="spellEnd"/>
      <w:r>
        <w:t xml:space="preserve">-Zero kit or an equivalent. We will purify the samples with oligo and concentration kit and elute in 15 </w:t>
      </w:r>
      <w:proofErr w:type="spellStart"/>
      <w:r>
        <w:t>ul</w:t>
      </w:r>
      <w:proofErr w:type="spellEnd"/>
      <w:r>
        <w:t xml:space="preserve"> of </w:t>
      </w:r>
      <w:proofErr w:type="spellStart"/>
      <w:r>
        <w:t>MilliQ</w:t>
      </w:r>
      <w:proofErr w:type="spellEnd"/>
      <w:r>
        <w:t xml:space="preserve"> water.</w:t>
      </w:r>
    </w:p>
    <w:p w14:paraId="7C5F7821" w14:textId="77777777" w:rsidR="00EF6056" w:rsidRDefault="00EF6056" w:rsidP="00EF6056">
      <w:pPr>
        <w:spacing w:line="240" w:lineRule="auto"/>
        <w:contextualSpacing/>
      </w:pPr>
    </w:p>
    <w:p w14:paraId="7590852B" w14:textId="77777777" w:rsidR="00EF6056" w:rsidRDefault="00EF6056" w:rsidP="00EF6056">
      <w:pPr>
        <w:spacing w:line="240" w:lineRule="auto"/>
        <w:contextualSpacing/>
        <w:rPr>
          <w:u w:val="single"/>
        </w:rPr>
      </w:pPr>
      <w:r w:rsidRPr="00B57571">
        <w:rPr>
          <w:u w:val="single"/>
        </w:rPr>
        <w:t>Reverse Transcription</w:t>
      </w:r>
      <w:r>
        <w:rPr>
          <w:u w:val="single"/>
        </w:rPr>
        <w:t>:</w:t>
      </w:r>
    </w:p>
    <w:p w14:paraId="4451B423" w14:textId="77777777" w:rsidR="00EF6056" w:rsidRDefault="00EF6056" w:rsidP="00EF6056">
      <w:pPr>
        <w:spacing w:line="240" w:lineRule="auto"/>
        <w:contextualSpacing/>
      </w:pPr>
      <w:r>
        <w:t xml:space="preserve">We will add 1.25 </w:t>
      </w:r>
      <w:proofErr w:type="spellStart"/>
      <w:r>
        <w:t>ul</w:t>
      </w:r>
      <w:proofErr w:type="spellEnd"/>
      <w:r>
        <w:t xml:space="preserve"> of 10 </w:t>
      </w:r>
      <w:proofErr w:type="spellStart"/>
      <w:r>
        <w:t>uM</w:t>
      </w:r>
      <w:proofErr w:type="spellEnd"/>
      <w:r>
        <w:t xml:space="preserve"> RT primer NI-NI-9 and heat the sample to 80ºC for 2 minutes, then place on ice. We will add 7 </w:t>
      </w:r>
      <w:proofErr w:type="spellStart"/>
      <w:r>
        <w:t>ul</w:t>
      </w:r>
      <w:proofErr w:type="spellEnd"/>
      <w:r>
        <w:t xml:space="preserve"> of RT Reaction Mix and 1 </w:t>
      </w:r>
      <w:proofErr w:type="spellStart"/>
      <w:r>
        <w:t>ul</w:t>
      </w:r>
      <w:proofErr w:type="spellEnd"/>
      <w:r>
        <w:t xml:space="preserve"> of Superscript III RT to each sample and incubate at 48ºC for 30 minutes. We will add 2.2 </w:t>
      </w:r>
      <w:proofErr w:type="spellStart"/>
      <w:r>
        <w:t>ul</w:t>
      </w:r>
      <w:proofErr w:type="spellEnd"/>
      <w:r>
        <w:t xml:space="preserve"> of 1M NaOH to each sample and heat at 98ºC for 20 minutes. We will purify the samples with oligo and concentration kit (?) and elute in 10 </w:t>
      </w:r>
      <w:proofErr w:type="spellStart"/>
      <w:r>
        <w:t>ul</w:t>
      </w:r>
      <w:proofErr w:type="spellEnd"/>
      <w:r>
        <w:t xml:space="preserve"> of </w:t>
      </w:r>
      <w:proofErr w:type="spellStart"/>
      <w:r>
        <w:t>MilliQ</w:t>
      </w:r>
      <w:proofErr w:type="spellEnd"/>
      <w:r>
        <w:t xml:space="preserve"> water.</w:t>
      </w:r>
    </w:p>
    <w:p w14:paraId="0D7883C0" w14:textId="77777777" w:rsidR="00EF6056" w:rsidRDefault="00EF6056" w:rsidP="00EF6056">
      <w:pPr>
        <w:spacing w:line="240" w:lineRule="auto"/>
        <w:contextualSpacing/>
      </w:pPr>
    </w:p>
    <w:p w14:paraId="636318D7" w14:textId="77777777" w:rsidR="00EF6056" w:rsidRDefault="00EF6056" w:rsidP="00EF6056">
      <w:pPr>
        <w:spacing w:line="240" w:lineRule="auto"/>
        <w:contextualSpacing/>
        <w:rPr>
          <w:u w:val="single"/>
        </w:rPr>
      </w:pPr>
      <w:r w:rsidRPr="00962F72">
        <w:rPr>
          <w:u w:val="single"/>
        </w:rPr>
        <w:t>RT Gel:</w:t>
      </w:r>
    </w:p>
    <w:p w14:paraId="6BBCE3DE" w14:textId="77777777" w:rsidR="00EF6056" w:rsidRDefault="00EF6056" w:rsidP="00EF6056">
      <w:pPr>
        <w:spacing w:line="240" w:lineRule="auto"/>
        <w:contextualSpacing/>
      </w:pPr>
      <w:r>
        <w:t xml:space="preserve">We will prepare the cDNA samples by adding 10ul of 2X RNA Loading Dye to 10ul of sample. We will heat the samples at 80ºC for 2 minutes and then put them on ice. We will prepare a 10% TBE Urea 1.0 mm (18 + 2) 30 </w:t>
      </w:r>
      <w:proofErr w:type="spellStart"/>
      <w:r>
        <w:t>ul</w:t>
      </w:r>
      <w:proofErr w:type="spellEnd"/>
      <w:r>
        <w:t xml:space="preserve"> gel. We will run the gel at 15 W for about 40 minutes (until the xylene </w:t>
      </w:r>
      <w:proofErr w:type="spellStart"/>
      <w:r>
        <w:t>cyanol</w:t>
      </w:r>
      <w:proofErr w:type="spellEnd"/>
      <w:r>
        <w:t xml:space="preserve"> runs off the gel). We will remove the gels from plates and place in 100 ml of SYBR-gold stain for 5 minutes. We will remove the gels from the stain, then image the gel. We will cut the gel from the 45 </w:t>
      </w:r>
      <w:proofErr w:type="spellStart"/>
      <w:r>
        <w:t>nt</w:t>
      </w:r>
      <w:proofErr w:type="spellEnd"/>
      <w:r>
        <w:t xml:space="preserve"> control to the 15 </w:t>
      </w:r>
      <w:proofErr w:type="spellStart"/>
      <w:r>
        <w:t>nt</w:t>
      </w:r>
      <w:proofErr w:type="spellEnd"/>
      <w:r>
        <w:t xml:space="preserve"> control. We will elute the gel by crushing it through the bottom of a PCR tube with holes poked through the bottom by an 18 G needle. We will place the PCR tubes in 1.5 ml micro centrifuge tubes to collect the eluate. We will spin the samples for 4 minutes (max speed?).</w:t>
      </w:r>
    </w:p>
    <w:p w14:paraId="487EADD7" w14:textId="77777777" w:rsidR="00EF6056" w:rsidRDefault="00EF6056" w:rsidP="00EF6056">
      <w:pPr>
        <w:spacing w:line="240" w:lineRule="auto"/>
        <w:contextualSpacing/>
      </w:pPr>
    </w:p>
    <w:p w14:paraId="3EDFE40D" w14:textId="77777777" w:rsidR="00EF6056" w:rsidRDefault="00EF6056" w:rsidP="00EF6056">
      <w:pPr>
        <w:spacing w:line="240" w:lineRule="auto"/>
        <w:contextualSpacing/>
        <w:rPr>
          <w:u w:val="single"/>
        </w:rPr>
      </w:pPr>
      <w:r w:rsidRPr="00F332A2">
        <w:rPr>
          <w:u w:val="single"/>
        </w:rPr>
        <w:t>RT Gel Extraction:</w:t>
      </w:r>
    </w:p>
    <w:p w14:paraId="2E3CA37C" w14:textId="77777777" w:rsidR="00EF6056" w:rsidRDefault="00EF6056" w:rsidP="00EF6056">
      <w:pPr>
        <w:spacing w:line="240" w:lineRule="auto"/>
        <w:contextualSpacing/>
      </w:pPr>
      <w:r>
        <w:t xml:space="preserve">We will add 500 </w:t>
      </w:r>
      <w:proofErr w:type="spellStart"/>
      <w:r>
        <w:t>ul</w:t>
      </w:r>
      <w:proofErr w:type="spellEnd"/>
      <w:r>
        <w:t xml:space="preserve"> DNA Elution Buffer to each sample. We will shake the samples overnight in a thermomixer at 1,050 rpm at 25ºC. After shaking, we will briefly spin the samples (speed?) and transfer gel slurry to into Spin-X columns. We will spin the samples for 3 minutes and put eluate in new microfuge tube. We will add 2 </w:t>
      </w:r>
      <w:proofErr w:type="spellStart"/>
      <w:r>
        <w:t>ul</w:t>
      </w:r>
      <w:proofErr w:type="spellEnd"/>
      <w:r>
        <w:t xml:space="preserve"> of </w:t>
      </w:r>
      <w:proofErr w:type="spellStart"/>
      <w:r>
        <w:t>GlycoBlue</w:t>
      </w:r>
      <w:proofErr w:type="spellEnd"/>
      <w:r>
        <w:t xml:space="preserve"> and 650 </w:t>
      </w:r>
      <w:proofErr w:type="spellStart"/>
      <w:r>
        <w:t>ul</w:t>
      </w:r>
      <w:proofErr w:type="spellEnd"/>
      <w:r>
        <w:t xml:space="preserve"> of isopropanol and precipitate the samples for about 40 minutes on dry ice, then spin the samples for 30 minutes at 10,000 x g at 4ºC. We will remove the supernatant and gently wash the pellets with 100 </w:t>
      </w:r>
      <w:proofErr w:type="spellStart"/>
      <w:r>
        <w:t>ul</w:t>
      </w:r>
      <w:proofErr w:type="spellEnd"/>
      <w:r>
        <w:t xml:space="preserve"> of cold 80% ethanol. We will dry the pellets in a speed vac for 10 minutes. We will resuspend the pellets in 15 </w:t>
      </w:r>
      <w:proofErr w:type="spellStart"/>
      <w:r>
        <w:t>ul</w:t>
      </w:r>
      <w:proofErr w:type="spellEnd"/>
      <w:r>
        <w:t xml:space="preserve"> of 10 mM Tris pH 8.</w:t>
      </w:r>
    </w:p>
    <w:p w14:paraId="6758A0F0" w14:textId="77777777" w:rsidR="00EF6056" w:rsidRDefault="00EF6056" w:rsidP="00EF6056">
      <w:pPr>
        <w:spacing w:line="240" w:lineRule="auto"/>
        <w:contextualSpacing/>
      </w:pPr>
    </w:p>
    <w:p w14:paraId="4E230FAC" w14:textId="77777777" w:rsidR="00EF6056" w:rsidRDefault="00EF6056" w:rsidP="00EF6056">
      <w:pPr>
        <w:spacing w:line="240" w:lineRule="auto"/>
        <w:contextualSpacing/>
        <w:rPr>
          <w:u w:val="single"/>
        </w:rPr>
      </w:pPr>
      <w:r w:rsidRPr="00B86988">
        <w:rPr>
          <w:u w:val="single"/>
        </w:rPr>
        <w:lastRenderedPageBreak/>
        <w:t>Circularization of DNA:</w:t>
      </w:r>
    </w:p>
    <w:p w14:paraId="321D1652" w14:textId="77777777" w:rsidR="00EF6056" w:rsidRDefault="00EF6056" w:rsidP="00EF6056">
      <w:pPr>
        <w:spacing w:line="240" w:lineRule="auto"/>
        <w:contextualSpacing/>
      </w:pPr>
      <w:r>
        <w:t xml:space="preserve">We will add 4 </w:t>
      </w:r>
      <w:proofErr w:type="spellStart"/>
      <w:r>
        <w:t>ul</w:t>
      </w:r>
      <w:proofErr w:type="spellEnd"/>
      <w:r>
        <w:t xml:space="preserve"> of Circularization Reaction Mix and 1 </w:t>
      </w:r>
      <w:proofErr w:type="spellStart"/>
      <w:r>
        <w:t>ul</w:t>
      </w:r>
      <w:proofErr w:type="spellEnd"/>
      <w:r>
        <w:t xml:space="preserve"> of Circ ligase to each sample and incubate at 60ºC for one hour, then incubate at 80ºC for ten minutes, then put the samples on ice.</w:t>
      </w:r>
    </w:p>
    <w:p w14:paraId="20EE23A7" w14:textId="77777777" w:rsidR="00EF6056" w:rsidRDefault="00EF6056" w:rsidP="00EF6056">
      <w:pPr>
        <w:spacing w:line="240" w:lineRule="auto"/>
        <w:contextualSpacing/>
      </w:pPr>
    </w:p>
    <w:p w14:paraId="6ADA8BAB" w14:textId="77777777" w:rsidR="00EF6056" w:rsidRDefault="00EF6056" w:rsidP="00EF6056">
      <w:pPr>
        <w:spacing w:line="240" w:lineRule="auto"/>
        <w:contextualSpacing/>
        <w:rPr>
          <w:u w:val="single"/>
        </w:rPr>
      </w:pPr>
      <w:r w:rsidRPr="00D45BF0">
        <w:rPr>
          <w:u w:val="single"/>
        </w:rPr>
        <w:t>Pilot PCR</w:t>
      </w:r>
      <w:r>
        <w:rPr>
          <w:u w:val="single"/>
        </w:rPr>
        <w:t xml:space="preserve"> and Gel</w:t>
      </w:r>
      <w:r w:rsidRPr="00D45BF0">
        <w:rPr>
          <w:u w:val="single"/>
        </w:rPr>
        <w:t>:</w:t>
      </w:r>
    </w:p>
    <w:p w14:paraId="5D2CFC55" w14:textId="77777777" w:rsidR="00EF6056" w:rsidRDefault="00EF6056" w:rsidP="00EF6056">
      <w:pPr>
        <w:spacing w:line="240" w:lineRule="auto"/>
        <w:contextualSpacing/>
      </w:pPr>
      <w:r>
        <w:t xml:space="preserve">We will perform a series of PCR amplifications to determine the number of PCR cycles that are necessary for proper amplification while minimizing bias/over-amplification. We will set up a reaction mix with the sample and divide the mix into 3 aliquots. We will run the PCR protocol for 9 cycles repeating Steps 2-5 eight times. Aliquots will he collected at Step 5 after 5, 7, and 9 cycles and be placed immediately on ice. We will add 2 </w:t>
      </w:r>
      <w:proofErr w:type="spellStart"/>
      <w:r>
        <w:t>ul</w:t>
      </w:r>
      <w:proofErr w:type="spellEnd"/>
      <w:r>
        <w:t xml:space="preserve"> of 6X DNA Loading Dye to 9 </w:t>
      </w:r>
      <w:proofErr w:type="spellStart"/>
      <w:r>
        <w:t>ul</w:t>
      </w:r>
      <w:proofErr w:type="spellEnd"/>
      <w:r>
        <w:t xml:space="preserve"> of PCR samples. We will prepare a 10% TBE Native 1.0 mm (12 + 2) 45 </w:t>
      </w:r>
      <w:proofErr w:type="spellStart"/>
      <w:r>
        <w:t>ul</w:t>
      </w:r>
      <w:proofErr w:type="spellEnd"/>
      <w:r>
        <w:t xml:space="preserve"> gel. We will run the gels for 40 minutes at 15 W until xylene </w:t>
      </w:r>
      <w:proofErr w:type="spellStart"/>
      <w:r>
        <w:t>cyanol</w:t>
      </w:r>
      <w:proofErr w:type="spellEnd"/>
      <w:r>
        <w:t xml:space="preserve"> runs off the gel. We will remove the gels from the plates and place in SYBR-gold stain for 5 minutes, then image the gel. The appropriate number of cycles for preparative PCR will be the one that has a good band at about 150-190 bp with no higher molecular weight products.</w:t>
      </w:r>
    </w:p>
    <w:p w14:paraId="21D92139" w14:textId="77777777" w:rsidR="00EF6056" w:rsidRDefault="00EF6056" w:rsidP="00EF6056">
      <w:pPr>
        <w:spacing w:line="240" w:lineRule="auto"/>
        <w:contextualSpacing/>
      </w:pPr>
    </w:p>
    <w:p w14:paraId="21DC411B" w14:textId="77777777" w:rsidR="00EF6056" w:rsidRPr="00B427B9" w:rsidRDefault="00EF6056" w:rsidP="00EF6056">
      <w:pPr>
        <w:spacing w:line="240" w:lineRule="auto"/>
        <w:contextualSpacing/>
        <w:rPr>
          <w:u w:val="single"/>
        </w:rPr>
      </w:pPr>
      <w:r w:rsidRPr="00B427B9">
        <w:rPr>
          <w:u w:val="single"/>
        </w:rPr>
        <w:t>Preparative PCR</w:t>
      </w:r>
      <w:r>
        <w:rPr>
          <w:u w:val="single"/>
        </w:rPr>
        <w:t>,</w:t>
      </w:r>
      <w:r w:rsidRPr="00B427B9">
        <w:rPr>
          <w:u w:val="single"/>
        </w:rPr>
        <w:t xml:space="preserve"> </w:t>
      </w:r>
      <w:r>
        <w:rPr>
          <w:u w:val="single"/>
        </w:rPr>
        <w:t>G</w:t>
      </w:r>
      <w:r w:rsidRPr="00B427B9">
        <w:rPr>
          <w:u w:val="single"/>
        </w:rPr>
        <w:t>el</w:t>
      </w:r>
      <w:r>
        <w:rPr>
          <w:u w:val="single"/>
        </w:rPr>
        <w:t>, and Extraction</w:t>
      </w:r>
      <w:r w:rsidRPr="00B427B9">
        <w:rPr>
          <w:u w:val="single"/>
        </w:rPr>
        <w:t>:</w:t>
      </w:r>
    </w:p>
    <w:p w14:paraId="19BA6188" w14:textId="77777777" w:rsidR="00EF6056" w:rsidRDefault="00EF6056" w:rsidP="00EF6056">
      <w:pPr>
        <w:spacing w:line="240" w:lineRule="auto"/>
        <w:contextualSpacing/>
      </w:pPr>
      <w:r>
        <w:t xml:space="preserve">We will prepare the reaction mix and run the PCR at the proper cycle (minus one from pilot PCR). We will prepare the PCR samples by adding 6 </w:t>
      </w:r>
      <w:proofErr w:type="spellStart"/>
      <w:r>
        <w:t>ul</w:t>
      </w:r>
      <w:proofErr w:type="spellEnd"/>
      <w:r>
        <w:t xml:space="preserve"> of 6X DNA Loading Dye to 30 </w:t>
      </w:r>
      <w:proofErr w:type="spellStart"/>
      <w:r>
        <w:t>ul</w:t>
      </w:r>
      <w:proofErr w:type="spellEnd"/>
      <w:r>
        <w:t xml:space="preserve"> of sample. We will prepare a 10% TBE Native 1.0 mm (12 + 2) 45 </w:t>
      </w:r>
      <w:proofErr w:type="spellStart"/>
      <w:r>
        <w:t>ul</w:t>
      </w:r>
      <w:proofErr w:type="spellEnd"/>
      <w:r>
        <w:t xml:space="preserve"> gel. We will run the gels for 40 minutes at 15 W until xylene </w:t>
      </w:r>
      <w:proofErr w:type="spellStart"/>
      <w:r>
        <w:t>cyanol</w:t>
      </w:r>
      <w:proofErr w:type="spellEnd"/>
      <w:r>
        <w:t xml:space="preserve"> runs off the gel. We will remove the gels from the plates and place in SYBR-gold stain for 5 minutes, then image the gel. We will elute the gel by crushing it through the bottom of a PCR tube with holes poked through the bottom by an 18 G needle. We will place the PCR tubes in 1.5 ml micro centrifuge tubes to collect the eluate. We will spin the samples for 5 minutes. We will add 500 </w:t>
      </w:r>
      <w:proofErr w:type="spellStart"/>
      <w:r>
        <w:t>ul</w:t>
      </w:r>
      <w:proofErr w:type="spellEnd"/>
      <w:r>
        <w:t xml:space="preserve"> of DNA Elution Buffer to each sample and shake overnight in a thermomixer at 1050 rpm at 25ºC. After shaking, we will briefly spin the samples and transfer gel slurry to into Spin-X columns. We will spin the samples for 3 minutes at 20,000 x g at room temperature and put eluate in new microfuge tube. We will add 2 </w:t>
      </w:r>
      <w:proofErr w:type="spellStart"/>
      <w:r>
        <w:t>ul</w:t>
      </w:r>
      <w:proofErr w:type="spellEnd"/>
      <w:r>
        <w:t xml:space="preserve"> of </w:t>
      </w:r>
      <w:proofErr w:type="spellStart"/>
      <w:r>
        <w:t>GlycoBlue</w:t>
      </w:r>
      <w:proofErr w:type="spellEnd"/>
      <w:r>
        <w:t xml:space="preserve"> and 650 </w:t>
      </w:r>
      <w:proofErr w:type="spellStart"/>
      <w:r>
        <w:t>ul</w:t>
      </w:r>
      <w:proofErr w:type="spellEnd"/>
      <w:r>
        <w:t xml:space="preserve"> of isopropanol and precipitate the samples for about 40 minutes on dry ice, then spin the samples for 30 minutes at 10,000 x g at 4ºC. We will remove the supernatant and gently wash the pellets with 100 </w:t>
      </w:r>
      <w:proofErr w:type="spellStart"/>
      <w:r>
        <w:t>ul</w:t>
      </w:r>
      <w:proofErr w:type="spellEnd"/>
      <w:r>
        <w:t xml:space="preserve"> of cold 80% ethanol. We will dry the pellets in a speed vac for 10 minutes. We will resuspend the pellets in 10 </w:t>
      </w:r>
      <w:proofErr w:type="spellStart"/>
      <w:r>
        <w:t>ul</w:t>
      </w:r>
      <w:proofErr w:type="spellEnd"/>
      <w:r>
        <w:t xml:space="preserve"> of 10 mM Tris pH 8. We will check the size and concentration of the samples in a </w:t>
      </w:r>
      <w:proofErr w:type="spellStart"/>
      <w:r>
        <w:t>BioAnalyzer</w:t>
      </w:r>
      <w:proofErr w:type="spellEnd"/>
      <w:r>
        <w:t>.</w:t>
      </w:r>
    </w:p>
    <w:p w14:paraId="1E3C6524" w14:textId="77777777" w:rsidR="00EF6056" w:rsidRDefault="00EF6056" w:rsidP="00EF6056">
      <w:pPr>
        <w:spacing w:line="240" w:lineRule="auto"/>
        <w:contextualSpacing/>
      </w:pPr>
    </w:p>
    <w:p w14:paraId="0E00DB8A" w14:textId="77777777" w:rsidR="00EF6056" w:rsidRDefault="00EF6056" w:rsidP="00EF6056">
      <w:pPr>
        <w:spacing w:line="240" w:lineRule="auto"/>
        <w:contextualSpacing/>
        <w:rPr>
          <w:u w:val="single"/>
        </w:rPr>
      </w:pPr>
      <w:r w:rsidRPr="000D1D03">
        <w:rPr>
          <w:u w:val="single"/>
        </w:rPr>
        <w:t>Sequencing and Data analysis</w:t>
      </w:r>
      <w:r>
        <w:rPr>
          <w:u w:val="single"/>
        </w:rPr>
        <w:t>:</w:t>
      </w:r>
    </w:p>
    <w:p w14:paraId="51F2FF38" w14:textId="77777777" w:rsidR="00EF6056" w:rsidRPr="000D1D03" w:rsidRDefault="00EF6056" w:rsidP="00EF6056">
      <w:pPr>
        <w:spacing w:line="240" w:lineRule="auto"/>
        <w:contextualSpacing/>
      </w:pPr>
      <w:r>
        <w:t xml:space="preserve">We will dilute each sample to 2 </w:t>
      </w:r>
      <w:proofErr w:type="spellStart"/>
      <w:r>
        <w:t>nM</w:t>
      </w:r>
      <w:proofErr w:type="spellEnd"/>
      <w:r>
        <w:t xml:space="preserve"> and submit 10 </w:t>
      </w:r>
      <w:proofErr w:type="spellStart"/>
      <w:r>
        <w:t>ul</w:t>
      </w:r>
      <w:proofErr w:type="spellEnd"/>
      <w:r>
        <w:t xml:space="preserve"> of 2 </w:t>
      </w:r>
      <w:proofErr w:type="spellStart"/>
      <w:r>
        <w:t>nM</w:t>
      </w:r>
      <w:proofErr w:type="spellEnd"/>
      <w:r>
        <w:t xml:space="preserve"> multiplexed samples for 50 cycle, single-end sequencing on Illumina HiSeq2500. We will analyze the sequencing data using tools from </w:t>
      </w:r>
      <w:hyperlink r:id="rId12" w:history="1">
        <w:r w:rsidRPr="00FF5588">
          <w:rPr>
            <w:rStyle w:val="Hyperlink"/>
          </w:rPr>
          <w:t>https://github.com/greenlabjhmi/2018_Bacterial_Pipeline_riboseq</w:t>
        </w:r>
      </w:hyperlink>
      <w:r>
        <w:t xml:space="preserve">. We will remove the linker sequences from the 3’ end of reads using Skewer version 0.2.2. We will use Bowtie version 0.12.7 for alignment, then map the reads to </w:t>
      </w:r>
      <w:r w:rsidRPr="005D0A7B">
        <w:rPr>
          <w:i/>
          <w:iCs/>
        </w:rPr>
        <w:t>Francisella tularensis</w:t>
      </w:r>
      <w:r>
        <w:t xml:space="preserve"> </w:t>
      </w:r>
      <w:proofErr w:type="spellStart"/>
      <w:r>
        <w:t>susbsp</w:t>
      </w:r>
      <w:proofErr w:type="spellEnd"/>
      <w:r>
        <w:t xml:space="preserve"> </w:t>
      </w:r>
      <w:proofErr w:type="spellStart"/>
      <w:r w:rsidRPr="005D0A7B">
        <w:rPr>
          <w:i/>
          <w:iCs/>
        </w:rPr>
        <w:t>holarctica</w:t>
      </w:r>
      <w:proofErr w:type="spellEnd"/>
      <w:r w:rsidRPr="005D0A7B">
        <w:rPr>
          <w:i/>
          <w:iCs/>
        </w:rPr>
        <w:t xml:space="preserve"> </w:t>
      </w:r>
      <w:r>
        <w:t xml:space="preserve">genome (GCA_000009245). We will write out ribosome density as a WIG file, a binary file, and a size separated dictionary using the 3’end of reads to assign ribosome position. We will draw plots of average ribosome density at start and stop codons, calculation of pause scores at </w:t>
      </w:r>
      <w:r>
        <w:lastRenderedPageBreak/>
        <w:t xml:space="preserve">specific codons, and asymmetry scores using scripts from the </w:t>
      </w:r>
      <w:proofErr w:type="spellStart"/>
      <w:r>
        <w:t>Jupyter</w:t>
      </w:r>
      <w:proofErr w:type="spellEnd"/>
      <w:r>
        <w:t xml:space="preserve"> notebook </w:t>
      </w:r>
      <w:proofErr w:type="spellStart"/>
      <w:r>
        <w:t>Github-Ribo-Analysis.ipynb</w:t>
      </w:r>
      <w:proofErr w:type="spellEnd"/>
      <w:r>
        <w:t>.</w:t>
      </w:r>
    </w:p>
    <w:p w14:paraId="49708A4B" w14:textId="77777777" w:rsidR="00EF6056" w:rsidRDefault="00EF6056" w:rsidP="00EF6056">
      <w:pPr>
        <w:spacing w:line="240" w:lineRule="auto"/>
        <w:contextualSpacing/>
        <w:rPr>
          <w:b/>
          <w:bCs/>
        </w:rPr>
      </w:pPr>
    </w:p>
    <w:p w14:paraId="3ADAB9C7" w14:textId="77777777" w:rsidR="00EF6056" w:rsidRDefault="00EF6056" w:rsidP="00715B1D">
      <w:pPr>
        <w:contextualSpacing/>
        <w:rPr>
          <w:b/>
          <w:bCs/>
        </w:rPr>
      </w:pPr>
    </w:p>
    <w:p w14:paraId="2A3AF326" w14:textId="77777777" w:rsidR="00A015A6" w:rsidRPr="00B6488B" w:rsidRDefault="00A015A6" w:rsidP="00A015A6">
      <w:pPr>
        <w:rPr>
          <w:u w:val="single"/>
        </w:rPr>
      </w:pPr>
      <w:r w:rsidRPr="00B6488B">
        <w:rPr>
          <w:u w:val="single"/>
        </w:rPr>
        <w:t xml:space="preserve">Deletion of </w:t>
      </w:r>
      <w:r w:rsidRPr="00B6488B">
        <w:rPr>
          <w:i/>
          <w:iCs/>
          <w:u w:val="single"/>
        </w:rPr>
        <w:t>rpsU</w:t>
      </w:r>
      <w:r w:rsidRPr="00B6488B">
        <w:rPr>
          <w:u w:val="single"/>
        </w:rPr>
        <w:t xml:space="preserve"> in </w:t>
      </w:r>
      <w:r w:rsidRPr="00B6488B">
        <w:rPr>
          <w:i/>
          <w:iCs/>
          <w:u w:val="single"/>
        </w:rPr>
        <w:t>S. aureus</w:t>
      </w:r>
    </w:p>
    <w:p w14:paraId="328EB952" w14:textId="77777777" w:rsidR="00A015A6" w:rsidRDefault="00A015A6" w:rsidP="00A015A6"/>
    <w:p w14:paraId="28684154" w14:textId="77777777" w:rsidR="00A015A6" w:rsidRDefault="00A015A6" w:rsidP="00A015A6">
      <w:r>
        <w:t xml:space="preserve">The following methods for gene deletion in </w:t>
      </w:r>
      <w:r w:rsidRPr="00F835EF">
        <w:rPr>
          <w:i/>
          <w:iCs/>
        </w:rPr>
        <w:t>S</w:t>
      </w:r>
      <w:r>
        <w:rPr>
          <w:i/>
          <w:iCs/>
        </w:rPr>
        <w:t>.</w:t>
      </w:r>
      <w:r w:rsidRPr="00F835EF">
        <w:rPr>
          <w:i/>
          <w:iCs/>
        </w:rPr>
        <w:t xml:space="preserve"> aureus</w:t>
      </w:r>
      <w:r>
        <w:t xml:space="preserve"> are based on the protocol by Kato and </w:t>
      </w:r>
      <w:proofErr w:type="spellStart"/>
      <w:r>
        <w:t>Sugai</w:t>
      </w:r>
      <w:proofErr w:type="spellEnd"/>
      <w:r>
        <w:t>.</w:t>
      </w:r>
    </w:p>
    <w:p w14:paraId="429EF261" w14:textId="77777777" w:rsidR="00A015A6" w:rsidRDefault="00A015A6" w:rsidP="00A015A6"/>
    <w:p w14:paraId="66C55C49" w14:textId="77777777" w:rsidR="00A015A6" w:rsidRDefault="00A015A6" w:rsidP="00A015A6">
      <w:r>
        <w:t xml:space="preserve">We will construct a plasmid fusing about 600 bp upstream of </w:t>
      </w:r>
      <w:r w:rsidRPr="00F835EF">
        <w:rPr>
          <w:i/>
          <w:iCs/>
        </w:rPr>
        <w:t>rpsU</w:t>
      </w:r>
      <w:r>
        <w:t xml:space="preserve"> to 600 bp downstream (this is what Hannah </w:t>
      </w:r>
      <w:proofErr w:type="gramStart"/>
      <w:r>
        <w:t>did</w:t>
      </w:r>
      <w:proofErr w:type="gramEnd"/>
      <w:r>
        <w:t xml:space="preserve"> but I’ll probably redesign the plasmid). We will PCR amplify the DNA fragments and digest them with </w:t>
      </w:r>
      <w:proofErr w:type="spellStart"/>
      <w:r>
        <w:t>SalI</w:t>
      </w:r>
      <w:proofErr w:type="spellEnd"/>
      <w:r>
        <w:t xml:space="preserve"> and </w:t>
      </w:r>
      <w:proofErr w:type="spellStart"/>
      <w:r>
        <w:t>BamHI</w:t>
      </w:r>
      <w:proofErr w:type="spellEnd"/>
      <w:r>
        <w:t xml:space="preserve"> and ligate onto the backbone </w:t>
      </w:r>
      <w:proofErr w:type="spellStart"/>
      <w:r>
        <w:t>pKFT</w:t>
      </w:r>
      <w:proofErr w:type="spellEnd"/>
      <w:r>
        <w:t xml:space="preserve"> which has the same restriction sites. </w:t>
      </w:r>
      <w:proofErr w:type="spellStart"/>
      <w:r>
        <w:t>pKFT</w:t>
      </w:r>
      <w:proofErr w:type="spellEnd"/>
      <w:r>
        <w:t xml:space="preserve"> is a vector that has a multicloning site, </w:t>
      </w:r>
      <w:proofErr w:type="spellStart"/>
      <w:r>
        <w:t>ampR</w:t>
      </w:r>
      <w:proofErr w:type="spellEnd"/>
      <w:r>
        <w:t xml:space="preserve">, </w:t>
      </w:r>
      <w:proofErr w:type="spellStart"/>
      <w:r>
        <w:t>tetL</w:t>
      </w:r>
      <w:proofErr w:type="spellEnd"/>
      <w:r>
        <w:t xml:space="preserve">, an origin of replication for E. coli, and a temperature-sensitive origin of replication for S. aureus. We will transform the construct into E coli XL1-Blu cells by heat shock at 42ºC and allow them to recover for an hour at 37ºC. We will plate the recovered cultures on LB agar with 100 ug/ml ampicillin and incubate overnight at 37ºC. We will use the Qiagen Miniprep kit to purify the plasmid and send them to </w:t>
      </w:r>
      <w:proofErr w:type="gramStart"/>
      <w:r>
        <w:t>sequencing</w:t>
      </w:r>
      <w:proofErr w:type="gramEnd"/>
      <w:r>
        <w:t xml:space="preserve"> at INBRE for verification. Confirmed plasmids will first be transformed into RN4220, strain of S aureus that has been engineered to readily accept foreign DNA, before being transformed into HG003, the terminal strain of S aureus. We will transform the plasmids into RN4220 by electroporation and allow it to recover in LB or TSB for about one and a half hours at 30ºC, then the cultures will be plated on TSA with 3 ug/ml tetracycline. We will pick colonies and inoculate cultures in 5 ml of TSB with 1.5 </w:t>
      </w:r>
      <w:proofErr w:type="spellStart"/>
      <w:r>
        <w:t>ul</w:t>
      </w:r>
      <w:proofErr w:type="spellEnd"/>
      <w:r>
        <w:t xml:space="preserve"> of tetracycline, then we will use the Qiagen Miniprep kit to purify the plasmids after treating them with lysostaphin to ease lysis. We will transform the plasmid into HG003 via electroporation and incubate at 30ºC, the temperature that allows for plasmid replication. We will pick colonies and grow them in LB or TSB at 30ºC, then plate them on TSB with and without tetracycline and grow them at 42ºC, the temperature that encourages integration of the plasmid into genomic DNA. We will pick colonies from the plates with antibiotic and run colony PCR using primers that are located outside </w:t>
      </w:r>
      <w:r w:rsidRPr="00A34484">
        <w:rPr>
          <w:i/>
          <w:iCs/>
        </w:rPr>
        <w:t>rpsU</w:t>
      </w:r>
      <w:r>
        <w:t xml:space="preserve">. Once confirmed that the plasmid has integrated in the correct location, we will grow the primary </w:t>
      </w:r>
      <w:proofErr w:type="spellStart"/>
      <w:r>
        <w:t>integrants</w:t>
      </w:r>
      <w:proofErr w:type="spellEnd"/>
      <w:r>
        <w:t xml:space="preserve"> in TSB without antibiotics overnight at 25ºC, then subculture into fresh TSB without antibiotics and grow at 25ºC again. Passaging of the culture at this temperature eradicates any residual replicating plasmid. We will plate cultures on TSA with and without tetracycline and screen for colonies that grow only on the plates with no antibiotic. We will confirm deletion of</w:t>
      </w:r>
      <w:r w:rsidRPr="00637616">
        <w:rPr>
          <w:i/>
          <w:iCs/>
        </w:rPr>
        <w:t xml:space="preserve"> rpsU</w:t>
      </w:r>
      <w:r>
        <w:t xml:space="preserve"> by colony PCR and sequencing.  </w:t>
      </w:r>
    </w:p>
    <w:p w14:paraId="3C724FAF" w14:textId="77777777" w:rsidR="00A015A6" w:rsidRDefault="00A015A6" w:rsidP="00A015A6"/>
    <w:p w14:paraId="0867CD63" w14:textId="77777777" w:rsidR="00A015A6" w:rsidRDefault="00A015A6" w:rsidP="00A015A6">
      <w:pPr>
        <w:rPr>
          <w:u w:val="single"/>
        </w:rPr>
      </w:pPr>
      <w:r w:rsidRPr="00B6488B">
        <w:rPr>
          <w:u w:val="single"/>
        </w:rPr>
        <w:lastRenderedPageBreak/>
        <w:t>Determining MIC of vancomycin and daptomycin against S. aureus:</w:t>
      </w:r>
    </w:p>
    <w:p w14:paraId="113EF628" w14:textId="77777777" w:rsidR="00A015A6" w:rsidRDefault="00A015A6" w:rsidP="00A015A6">
      <w:r>
        <w:t xml:space="preserve">We will grow the wild </w:t>
      </w:r>
      <w:proofErr w:type="gramStart"/>
      <w:r>
        <w:t>type</w:t>
      </w:r>
      <w:proofErr w:type="gramEnd"/>
      <w:r>
        <w:t xml:space="preserve"> strain and the </w:t>
      </w:r>
      <w:r w:rsidRPr="00B6488B">
        <w:rPr>
          <w:i/>
          <w:iCs/>
        </w:rPr>
        <w:t>∆rpsU</w:t>
      </w:r>
      <w:r>
        <w:t xml:space="preserve"> strain shaking overnight in TSB at 37ºC. We will normalize the cultures to A</w:t>
      </w:r>
      <w:r>
        <w:rPr>
          <w:vertAlign w:val="subscript"/>
        </w:rPr>
        <w:t>578</w:t>
      </w:r>
      <w:r>
        <w:t>=0.3 so that all plates start with approximately 10</w:t>
      </w:r>
      <w:r>
        <w:rPr>
          <w:vertAlign w:val="superscript"/>
        </w:rPr>
        <w:t xml:space="preserve">8 </w:t>
      </w:r>
      <w:r>
        <w:t>CFUs (colony forming units). We will perform a series of ten-fold dilutions for a total of 6 dilutions such that the range of concentrations is 10</w:t>
      </w:r>
      <w:r>
        <w:rPr>
          <w:vertAlign w:val="superscript"/>
        </w:rPr>
        <w:t>8</w:t>
      </w:r>
      <w:r>
        <w:t xml:space="preserve"> CFUs to 10</w:t>
      </w:r>
      <w:r>
        <w:rPr>
          <w:vertAlign w:val="superscript"/>
        </w:rPr>
        <w:t>2</w:t>
      </w:r>
      <w:r>
        <w:t xml:space="preserve"> CFUs. We will prepare BHI (Brain Heart Infusion) plates with 1:2 serial dilutions of each antibiotic for a total of 8 dilutions per antibiotic. For vancomycin, we will begin with 10 ug/ml down to 0.078 ug/ml, and for daptomycin, we will begin with 5 ug/ml to 0.029 ug/ml. These concentrations are based on published MICs (minimum inhibitory concentration) of these antibiotics against clinical isolates of MRSA. We will spread each dilution of bacterial cells onto plates of each antibiotic concentration in triplicate, allow them to dry, and incubate them at 37ºC for 48 hours. We will determine the MIC to be the lowest concentration of antibiotic that produces no colonies. We expect that the </w:t>
      </w:r>
      <w:r w:rsidRPr="000E2341">
        <w:rPr>
          <w:i/>
          <w:iCs/>
        </w:rPr>
        <w:t>∆rpsU</w:t>
      </w:r>
      <w:r>
        <w:t xml:space="preserve"> strain will have higher MICs compared to </w:t>
      </w:r>
      <w:proofErr w:type="gramStart"/>
      <w:r>
        <w:t>wild-type</w:t>
      </w:r>
      <w:proofErr w:type="gramEnd"/>
      <w:r>
        <w:t>.</w:t>
      </w:r>
    </w:p>
    <w:p w14:paraId="37760FEF" w14:textId="77777777" w:rsidR="00A015A6" w:rsidRDefault="00A015A6" w:rsidP="00A015A6"/>
    <w:p w14:paraId="474E0E87" w14:textId="77777777" w:rsidR="00A015A6" w:rsidRPr="000E2341" w:rsidRDefault="00A015A6" w:rsidP="00A015A6">
      <w:pPr>
        <w:rPr>
          <w:u w:val="single"/>
        </w:rPr>
      </w:pPr>
      <w:r w:rsidRPr="000E2341">
        <w:rPr>
          <w:u w:val="single"/>
        </w:rPr>
        <w:t>TEM preparation</w:t>
      </w:r>
      <w:r>
        <w:rPr>
          <w:u w:val="single"/>
        </w:rPr>
        <w:t xml:space="preserve"> to measure cell wall thickness</w:t>
      </w:r>
      <w:r w:rsidRPr="000E2341">
        <w:rPr>
          <w:u w:val="single"/>
        </w:rPr>
        <w:t>:</w:t>
      </w:r>
    </w:p>
    <w:p w14:paraId="18902E8E" w14:textId="77777777" w:rsidR="00A015A6" w:rsidRPr="000E2341" w:rsidRDefault="00A015A6" w:rsidP="00A015A6">
      <w:r>
        <w:t xml:space="preserve">We will grow wild-type </w:t>
      </w:r>
      <w:r w:rsidRPr="000E2341">
        <w:t>and</w:t>
      </w:r>
      <w:r w:rsidRPr="000E2341">
        <w:rPr>
          <w:i/>
          <w:iCs/>
        </w:rPr>
        <w:t xml:space="preserve"> ∆rpsU</w:t>
      </w:r>
      <w:r>
        <w:t xml:space="preserve"> strains to logarithmic phase in BHI broth shaking at 37ºC. We will fix the cells in 2% glutaraldehyde in 0.1 M sodium phosphate buffer pH 7.4, incubating for 2 hours. We will stain the cells with 1% osmium tetroxide for 2 hours at 4ºC, then dehydrate in ethanol and embed in resin, preparing thin sections. We will stain the sections with uranyl acetate and lead citrate before analyzing under a transmission electron microscope. We will set the magnification to X30,000.</w:t>
      </w:r>
    </w:p>
    <w:p w14:paraId="6E56CB6F" w14:textId="77777777" w:rsidR="00A015A6" w:rsidRPr="00B6488B" w:rsidRDefault="00A015A6" w:rsidP="00A015A6">
      <w:r w:rsidRPr="00B6488B">
        <w:t xml:space="preserve"> </w:t>
      </w:r>
    </w:p>
    <w:p w14:paraId="05D52DC1" w14:textId="77777777" w:rsidR="00EF6056" w:rsidRDefault="00EF6056" w:rsidP="00715B1D">
      <w:pPr>
        <w:contextualSpacing/>
        <w:rPr>
          <w:b/>
          <w:bCs/>
        </w:rPr>
      </w:pPr>
    </w:p>
    <w:p w14:paraId="696F2859" w14:textId="7415DD3C" w:rsidR="0045354E" w:rsidRDefault="005953BC" w:rsidP="00715B1D">
      <w:pPr>
        <w:contextualSpacing/>
        <w:rPr>
          <w:b/>
          <w:bCs/>
        </w:rPr>
      </w:pPr>
      <w:r w:rsidRPr="005953BC">
        <w:rPr>
          <w:b/>
          <w:bCs/>
        </w:rPr>
        <w:t>References</w:t>
      </w:r>
    </w:p>
    <w:p w14:paraId="388A912D" w14:textId="77777777" w:rsidR="00B04D57" w:rsidRPr="00B04D57" w:rsidRDefault="005E743B" w:rsidP="00B04D57">
      <w:pPr>
        <w:pStyle w:val="Bibliography"/>
        <w:rPr>
          <w:rFonts w:ascii="Calibri" w:cs="Calibri"/>
        </w:rPr>
      </w:pPr>
      <w:r>
        <w:rPr>
          <w:rFonts w:cstheme="minorHAnsi"/>
          <w:b/>
          <w:bCs/>
        </w:rPr>
        <w:fldChar w:fldCharType="begin"/>
      </w:r>
      <w:r>
        <w:rPr>
          <w:rFonts w:cstheme="minorHAnsi"/>
          <w:b/>
          <w:bCs/>
        </w:rPr>
        <w:instrText xml:space="preserve"> ADDIN ZOTERO_BIBL {"uncited":[],"omitted":[],"custom":[]} CSL_BIBLIOGRAPHY </w:instrText>
      </w:r>
      <w:r>
        <w:rPr>
          <w:rFonts w:cstheme="minorHAnsi"/>
          <w:b/>
          <w:bCs/>
        </w:rPr>
        <w:fldChar w:fldCharType="separate"/>
      </w:r>
      <w:proofErr w:type="spellStart"/>
      <w:r w:rsidR="00B04D57" w:rsidRPr="00B04D57">
        <w:rPr>
          <w:rFonts w:ascii="Calibri" w:cs="Calibri"/>
        </w:rPr>
        <w:t>Basco</w:t>
      </w:r>
      <w:proofErr w:type="spellEnd"/>
      <w:r w:rsidR="00B04D57" w:rsidRPr="00B04D57">
        <w:rPr>
          <w:rFonts w:ascii="Calibri" w:cs="Calibri"/>
        </w:rPr>
        <w:t xml:space="preserve">, M. D. S., Kothari, A., McKinzie, P. B., </w:t>
      </w:r>
      <w:proofErr w:type="spellStart"/>
      <w:r w:rsidR="00B04D57" w:rsidRPr="00B04D57">
        <w:rPr>
          <w:rFonts w:ascii="Calibri" w:cs="Calibri"/>
        </w:rPr>
        <w:t>Revollo</w:t>
      </w:r>
      <w:proofErr w:type="spellEnd"/>
      <w:r w:rsidR="00B04D57" w:rsidRPr="00B04D57">
        <w:rPr>
          <w:rFonts w:ascii="Calibri" w:cs="Calibri"/>
        </w:rPr>
        <w:t xml:space="preserve">, J. R., </w:t>
      </w:r>
      <w:proofErr w:type="spellStart"/>
      <w:r w:rsidR="00B04D57" w:rsidRPr="00B04D57">
        <w:rPr>
          <w:rFonts w:ascii="Calibri" w:cs="Calibri"/>
        </w:rPr>
        <w:t>Agnihothram</w:t>
      </w:r>
      <w:proofErr w:type="spellEnd"/>
      <w:r w:rsidR="00B04D57" w:rsidRPr="00B04D57">
        <w:rPr>
          <w:rFonts w:ascii="Calibri" w:cs="Calibri"/>
        </w:rPr>
        <w:t xml:space="preserve">, S., Azevedo, M. P., </w:t>
      </w:r>
      <w:proofErr w:type="spellStart"/>
      <w:r w:rsidR="00B04D57" w:rsidRPr="00B04D57">
        <w:rPr>
          <w:rFonts w:ascii="Calibri" w:cs="Calibri"/>
        </w:rPr>
        <w:t>Saccente</w:t>
      </w:r>
      <w:proofErr w:type="spellEnd"/>
      <w:r w:rsidR="00B04D57" w:rsidRPr="00B04D57">
        <w:rPr>
          <w:rFonts w:ascii="Calibri" w:cs="Calibri"/>
        </w:rPr>
        <w:t xml:space="preserve">, M., &amp; Hart, M. E. (2019). Reduced vancomycin susceptibility and increased macrophage survival in Staphylococcus aureus strains sequentially isolated from a </w:t>
      </w:r>
      <w:proofErr w:type="spellStart"/>
      <w:r w:rsidR="00B04D57" w:rsidRPr="00B04D57">
        <w:rPr>
          <w:rFonts w:ascii="Calibri" w:cs="Calibri"/>
        </w:rPr>
        <w:t>bacteraemic</w:t>
      </w:r>
      <w:proofErr w:type="spellEnd"/>
      <w:r w:rsidR="00B04D57" w:rsidRPr="00B04D57">
        <w:rPr>
          <w:rFonts w:ascii="Calibri" w:cs="Calibri"/>
        </w:rPr>
        <w:t xml:space="preserve"> patient during a short course of antibiotic therapy. </w:t>
      </w:r>
      <w:r w:rsidR="00B04D57" w:rsidRPr="00B04D57">
        <w:rPr>
          <w:rFonts w:ascii="Calibri" w:cs="Calibri"/>
          <w:i/>
          <w:iCs/>
        </w:rPr>
        <w:t>Journal of Medical Microbiology</w:t>
      </w:r>
      <w:r w:rsidR="00B04D57" w:rsidRPr="00B04D57">
        <w:rPr>
          <w:rFonts w:ascii="Calibri" w:cs="Calibri"/>
        </w:rPr>
        <w:t xml:space="preserve">, </w:t>
      </w:r>
      <w:r w:rsidR="00B04D57" w:rsidRPr="00B04D57">
        <w:rPr>
          <w:rFonts w:ascii="Calibri" w:cs="Calibri"/>
          <w:i/>
          <w:iCs/>
        </w:rPr>
        <w:t>68</w:t>
      </w:r>
      <w:r w:rsidR="00B04D57" w:rsidRPr="00B04D57">
        <w:rPr>
          <w:rFonts w:ascii="Calibri" w:cs="Calibri"/>
        </w:rPr>
        <w:t>(6), 848–859. https://doi.org/10.1099/jmm.0.000988</w:t>
      </w:r>
    </w:p>
    <w:p w14:paraId="36F04DA8" w14:textId="77777777" w:rsidR="00B04D57" w:rsidRPr="00B04D57" w:rsidRDefault="00B04D57" w:rsidP="00B04D57">
      <w:pPr>
        <w:pStyle w:val="Bibliography"/>
        <w:rPr>
          <w:rFonts w:ascii="Calibri" w:cs="Calibri"/>
        </w:rPr>
      </w:pPr>
      <w:r w:rsidRPr="00B04D57">
        <w:rPr>
          <w:rFonts w:ascii="Calibri" w:cs="Calibri"/>
        </w:rPr>
        <w:lastRenderedPageBreak/>
        <w:t xml:space="preserve">Berk, V., Zhang, W., Pai, R. D., &amp; Cate, J. H. D. (2006). Structural basis for mRNA and tRNA positioning on the ribosome. </w:t>
      </w:r>
      <w:r w:rsidRPr="00B04D57">
        <w:rPr>
          <w:rFonts w:ascii="Calibri" w:cs="Calibri"/>
          <w:i/>
          <w:iCs/>
        </w:rPr>
        <w:t>Proceedings of the National Academy of Sciences of the United States of America</w:t>
      </w:r>
      <w:r w:rsidRPr="00B04D57">
        <w:rPr>
          <w:rFonts w:ascii="Calibri" w:cs="Calibri"/>
        </w:rPr>
        <w:t xml:space="preserve">, </w:t>
      </w:r>
      <w:r w:rsidRPr="00B04D57">
        <w:rPr>
          <w:rFonts w:ascii="Calibri" w:cs="Calibri"/>
          <w:i/>
          <w:iCs/>
        </w:rPr>
        <w:t>103</w:t>
      </w:r>
      <w:r w:rsidRPr="00B04D57">
        <w:rPr>
          <w:rFonts w:ascii="Calibri" w:cs="Calibri"/>
        </w:rPr>
        <w:t>(43), 15830–15834. https://doi.org/10.1073/pnas.0607541103</w:t>
      </w:r>
    </w:p>
    <w:p w14:paraId="3BDFE57F" w14:textId="77777777" w:rsidR="00B04D57" w:rsidRPr="00B04D57" w:rsidRDefault="00B04D57" w:rsidP="00B04D57">
      <w:pPr>
        <w:pStyle w:val="Bibliography"/>
        <w:rPr>
          <w:rFonts w:ascii="Calibri" w:cs="Calibri"/>
        </w:rPr>
      </w:pPr>
      <w:r w:rsidRPr="00B04D57">
        <w:rPr>
          <w:rFonts w:ascii="Calibri" w:cs="Calibri"/>
        </w:rPr>
        <w:t xml:space="preserve">Blake, K. L., &amp; O’Neill, A. J. (2013). Transposon library screening for identification of genetic loci participating in intrinsic susceptibility and acquired resistance to </w:t>
      </w:r>
      <w:proofErr w:type="spellStart"/>
      <w:r w:rsidRPr="00B04D57">
        <w:rPr>
          <w:rFonts w:ascii="Calibri" w:cs="Calibri"/>
        </w:rPr>
        <w:t>antistaphylococcal</w:t>
      </w:r>
      <w:proofErr w:type="spellEnd"/>
      <w:r w:rsidRPr="00B04D57">
        <w:rPr>
          <w:rFonts w:ascii="Calibri" w:cs="Calibri"/>
        </w:rPr>
        <w:t xml:space="preserve"> agents. </w:t>
      </w:r>
      <w:r w:rsidRPr="00B04D57">
        <w:rPr>
          <w:rFonts w:ascii="Calibri" w:cs="Calibri"/>
          <w:i/>
          <w:iCs/>
        </w:rPr>
        <w:t>Journal of Antimicrobial Chemotherapy</w:t>
      </w:r>
      <w:r w:rsidRPr="00B04D57">
        <w:rPr>
          <w:rFonts w:ascii="Calibri" w:cs="Calibri"/>
        </w:rPr>
        <w:t xml:space="preserve">, </w:t>
      </w:r>
      <w:r w:rsidRPr="00B04D57">
        <w:rPr>
          <w:rFonts w:ascii="Calibri" w:cs="Calibri"/>
          <w:i/>
          <w:iCs/>
        </w:rPr>
        <w:t>68</w:t>
      </w:r>
      <w:r w:rsidRPr="00B04D57">
        <w:rPr>
          <w:rFonts w:ascii="Calibri" w:cs="Calibri"/>
        </w:rPr>
        <w:t>(1), 12–16. https://doi.org/10.1093/jac/dks373</w:t>
      </w:r>
    </w:p>
    <w:p w14:paraId="17740D36" w14:textId="77777777" w:rsidR="00B04D57" w:rsidRPr="00B04D57" w:rsidRDefault="00B04D57" w:rsidP="00B04D57">
      <w:pPr>
        <w:pStyle w:val="Bibliography"/>
        <w:rPr>
          <w:rFonts w:ascii="Calibri" w:cs="Calibri"/>
        </w:rPr>
      </w:pPr>
      <w:r w:rsidRPr="00B04D57">
        <w:rPr>
          <w:rFonts w:ascii="Calibri" w:cs="Calibri"/>
        </w:rPr>
        <w:t xml:space="preserve">Brar, G. A., &amp; Weissman, J. S. (2015). Ribosome profiling reveals </w:t>
      </w:r>
      <w:proofErr w:type="gramStart"/>
      <w:r w:rsidRPr="00B04D57">
        <w:rPr>
          <w:rFonts w:ascii="Calibri" w:cs="Calibri"/>
        </w:rPr>
        <w:t>the what</w:t>
      </w:r>
      <w:proofErr w:type="gramEnd"/>
      <w:r w:rsidRPr="00B04D57">
        <w:rPr>
          <w:rFonts w:ascii="Calibri" w:cs="Calibri"/>
        </w:rPr>
        <w:t xml:space="preserve">, when, where, and how of protein synthesis. </w:t>
      </w:r>
      <w:r w:rsidRPr="00B04D57">
        <w:rPr>
          <w:rFonts w:ascii="Calibri" w:cs="Calibri"/>
          <w:i/>
          <w:iCs/>
        </w:rPr>
        <w:t>Nature Reviews. Molecular Cell Biology</w:t>
      </w:r>
      <w:r w:rsidRPr="00B04D57">
        <w:rPr>
          <w:rFonts w:ascii="Calibri" w:cs="Calibri"/>
        </w:rPr>
        <w:t xml:space="preserve">, </w:t>
      </w:r>
      <w:r w:rsidRPr="00B04D57">
        <w:rPr>
          <w:rFonts w:ascii="Calibri" w:cs="Calibri"/>
          <w:i/>
          <w:iCs/>
        </w:rPr>
        <w:t>16</w:t>
      </w:r>
      <w:r w:rsidRPr="00B04D57">
        <w:rPr>
          <w:rFonts w:ascii="Calibri" w:cs="Calibri"/>
        </w:rPr>
        <w:t>(11), 651–664. https://doi.org/10.1038/nrm4069</w:t>
      </w:r>
    </w:p>
    <w:p w14:paraId="5A2B7C73" w14:textId="77777777" w:rsidR="00B04D57" w:rsidRPr="00B04D57" w:rsidRDefault="00B04D57" w:rsidP="00B04D57">
      <w:pPr>
        <w:pStyle w:val="Bibliography"/>
        <w:rPr>
          <w:rFonts w:ascii="Calibri" w:cs="Calibri"/>
        </w:rPr>
      </w:pPr>
      <w:proofErr w:type="spellStart"/>
      <w:r w:rsidRPr="00B04D57">
        <w:rPr>
          <w:rFonts w:ascii="Calibri" w:cs="Calibri"/>
        </w:rPr>
        <w:t>Byrgazov</w:t>
      </w:r>
      <w:proofErr w:type="spellEnd"/>
      <w:r w:rsidRPr="00B04D57">
        <w:rPr>
          <w:rFonts w:ascii="Calibri" w:cs="Calibri"/>
        </w:rPr>
        <w:t xml:space="preserve">, K., Vesper, O., &amp; Moll, I. (2013). Ribosome heterogeneity: Another level of complexity in bacterial translation regulation. </w:t>
      </w:r>
      <w:r w:rsidRPr="00B04D57">
        <w:rPr>
          <w:rFonts w:ascii="Calibri" w:cs="Calibri"/>
          <w:i/>
          <w:iCs/>
        </w:rPr>
        <w:t>Current Opinion in Microbiology</w:t>
      </w:r>
      <w:r w:rsidRPr="00B04D57">
        <w:rPr>
          <w:rFonts w:ascii="Calibri" w:cs="Calibri"/>
        </w:rPr>
        <w:t xml:space="preserve">, </w:t>
      </w:r>
      <w:r w:rsidRPr="00B04D57">
        <w:rPr>
          <w:rFonts w:ascii="Calibri" w:cs="Calibri"/>
          <w:i/>
          <w:iCs/>
        </w:rPr>
        <w:t>16</w:t>
      </w:r>
      <w:r w:rsidRPr="00B04D57">
        <w:rPr>
          <w:rFonts w:ascii="Calibri" w:cs="Calibri"/>
        </w:rPr>
        <w:t>(2), 133–139. https://doi.org/10.1016/j.mib.2013.01.009</w:t>
      </w:r>
    </w:p>
    <w:p w14:paraId="51522B95" w14:textId="77777777" w:rsidR="00B04D57" w:rsidRPr="00B04D57" w:rsidRDefault="00B04D57" w:rsidP="00B04D57">
      <w:pPr>
        <w:pStyle w:val="Bibliography"/>
        <w:rPr>
          <w:rFonts w:ascii="Calibri" w:cs="Calibri"/>
        </w:rPr>
      </w:pPr>
      <w:r w:rsidRPr="00B04D57">
        <w:rPr>
          <w:rFonts w:ascii="Calibri" w:cs="Calibri"/>
        </w:rPr>
        <w:t xml:space="preserve">Cui, L., Iwamoto, A., Lian, J.-Q., </w:t>
      </w:r>
      <w:proofErr w:type="spellStart"/>
      <w:r w:rsidRPr="00B04D57">
        <w:rPr>
          <w:rFonts w:ascii="Calibri" w:cs="Calibri"/>
        </w:rPr>
        <w:t>Neoh</w:t>
      </w:r>
      <w:proofErr w:type="spellEnd"/>
      <w:r w:rsidRPr="00B04D57">
        <w:rPr>
          <w:rFonts w:ascii="Calibri" w:cs="Calibri"/>
        </w:rPr>
        <w:t xml:space="preserve">, H., Maruyama, T., Horikawa, Y., &amp; </w:t>
      </w:r>
      <w:proofErr w:type="spellStart"/>
      <w:r w:rsidRPr="00B04D57">
        <w:rPr>
          <w:rFonts w:ascii="Calibri" w:cs="Calibri"/>
        </w:rPr>
        <w:t>Hiramatsu</w:t>
      </w:r>
      <w:proofErr w:type="spellEnd"/>
      <w:r w:rsidRPr="00B04D57">
        <w:rPr>
          <w:rFonts w:ascii="Calibri" w:cs="Calibri"/>
        </w:rPr>
        <w:t xml:space="preserve">, K. (2006). Novel Mechanism of Antibiotic Resistance Originating in Vancomycin-Intermediate Staphylococcus aureus. </w:t>
      </w:r>
      <w:r w:rsidRPr="00B04D57">
        <w:rPr>
          <w:rFonts w:ascii="Calibri" w:cs="Calibri"/>
          <w:i/>
          <w:iCs/>
        </w:rPr>
        <w:t>Antimicrobial Agents and Chemotherapy</w:t>
      </w:r>
      <w:r w:rsidRPr="00B04D57">
        <w:rPr>
          <w:rFonts w:ascii="Calibri" w:cs="Calibri"/>
        </w:rPr>
        <w:t xml:space="preserve">, </w:t>
      </w:r>
      <w:r w:rsidRPr="00B04D57">
        <w:rPr>
          <w:rFonts w:ascii="Calibri" w:cs="Calibri"/>
          <w:i/>
          <w:iCs/>
        </w:rPr>
        <w:t>50</w:t>
      </w:r>
      <w:r w:rsidRPr="00B04D57">
        <w:rPr>
          <w:rFonts w:ascii="Calibri" w:cs="Calibri"/>
        </w:rPr>
        <w:t>(2), 428–438. https://doi.org/10.1128/AAC.50.2.428-438.2006</w:t>
      </w:r>
    </w:p>
    <w:p w14:paraId="585ECADE" w14:textId="77777777" w:rsidR="00B04D57" w:rsidRPr="00B04D57" w:rsidRDefault="00B04D57" w:rsidP="00B04D57">
      <w:pPr>
        <w:pStyle w:val="Bibliography"/>
        <w:rPr>
          <w:rFonts w:ascii="Calibri" w:cs="Calibri"/>
          <w:lang w:val="es-419"/>
        </w:rPr>
      </w:pPr>
      <w:r w:rsidRPr="00B04D57">
        <w:rPr>
          <w:rFonts w:ascii="Calibri" w:cs="Calibri"/>
        </w:rPr>
        <w:t xml:space="preserve">Dow, A., &amp; </w:t>
      </w:r>
      <w:proofErr w:type="spellStart"/>
      <w:r w:rsidRPr="00B04D57">
        <w:rPr>
          <w:rFonts w:ascii="Calibri" w:cs="Calibri"/>
        </w:rPr>
        <w:t>Prisic</w:t>
      </w:r>
      <w:proofErr w:type="spellEnd"/>
      <w:r w:rsidRPr="00B04D57">
        <w:rPr>
          <w:rFonts w:ascii="Calibri" w:cs="Calibri"/>
        </w:rPr>
        <w:t xml:space="preserve">, S. (2018). Alternative ribosomal proteins are required for growth and morphogenesis of Mycobacterium smegmatis under zinc limiting conditions. </w:t>
      </w:r>
      <w:r w:rsidRPr="00B04D57">
        <w:rPr>
          <w:rFonts w:ascii="Calibri" w:cs="Calibri"/>
          <w:i/>
          <w:iCs/>
          <w:lang w:val="es-419"/>
        </w:rPr>
        <w:t>PLOS ONE</w:t>
      </w:r>
      <w:r w:rsidRPr="00B04D57">
        <w:rPr>
          <w:rFonts w:ascii="Calibri" w:cs="Calibri"/>
          <w:lang w:val="es-419"/>
        </w:rPr>
        <w:t xml:space="preserve">, </w:t>
      </w:r>
      <w:r w:rsidRPr="00B04D57">
        <w:rPr>
          <w:rFonts w:ascii="Calibri" w:cs="Calibri"/>
          <w:i/>
          <w:iCs/>
          <w:lang w:val="es-419"/>
        </w:rPr>
        <w:t>13</w:t>
      </w:r>
      <w:r w:rsidRPr="00B04D57">
        <w:rPr>
          <w:rFonts w:ascii="Calibri" w:cs="Calibri"/>
          <w:lang w:val="es-419"/>
        </w:rPr>
        <w:t>(4), e0196300. https://doi.org/10.1371/journal.pone.0196300</w:t>
      </w:r>
    </w:p>
    <w:p w14:paraId="47999B63" w14:textId="77777777" w:rsidR="00B04D57" w:rsidRPr="00B04D57" w:rsidRDefault="00B04D57" w:rsidP="00B04D57">
      <w:pPr>
        <w:pStyle w:val="Bibliography"/>
        <w:rPr>
          <w:rFonts w:ascii="Calibri" w:cs="Calibri"/>
          <w:lang w:val="es-419"/>
        </w:rPr>
      </w:pPr>
      <w:r w:rsidRPr="00B04D57">
        <w:rPr>
          <w:rFonts w:ascii="Calibri" w:cs="Calibri"/>
          <w:lang w:val="es-419"/>
        </w:rPr>
        <w:lastRenderedPageBreak/>
        <w:t xml:space="preserve">Duval, M., Simonetti, A., Caldelari, I., &amp; Marzi, S. (2015). </w:t>
      </w:r>
      <w:r w:rsidRPr="00B04D57">
        <w:rPr>
          <w:rFonts w:ascii="Calibri" w:cs="Calibri"/>
        </w:rPr>
        <w:t xml:space="preserve">Multiple ways to regulate translation initiation in bacteria: Mechanisms, regulatory circuits, dynamics. </w:t>
      </w:r>
      <w:r w:rsidRPr="00B04D57">
        <w:rPr>
          <w:rFonts w:ascii="Calibri" w:cs="Calibri"/>
          <w:i/>
          <w:iCs/>
          <w:lang w:val="es-419"/>
        </w:rPr>
        <w:t>Biochimie</w:t>
      </w:r>
      <w:r w:rsidRPr="00B04D57">
        <w:rPr>
          <w:rFonts w:ascii="Calibri" w:cs="Calibri"/>
          <w:lang w:val="es-419"/>
        </w:rPr>
        <w:t xml:space="preserve">, </w:t>
      </w:r>
      <w:r w:rsidRPr="00B04D57">
        <w:rPr>
          <w:rFonts w:ascii="Calibri" w:cs="Calibri"/>
          <w:i/>
          <w:iCs/>
          <w:lang w:val="es-419"/>
        </w:rPr>
        <w:t>114</w:t>
      </w:r>
      <w:r w:rsidRPr="00B04D57">
        <w:rPr>
          <w:rFonts w:ascii="Calibri" w:cs="Calibri"/>
          <w:lang w:val="es-419"/>
        </w:rPr>
        <w:t>, 18–29. https://doi.org/10.1016/j.biochi.2015.03.007</w:t>
      </w:r>
    </w:p>
    <w:p w14:paraId="6AEAFEA7" w14:textId="77777777" w:rsidR="00B04D57" w:rsidRPr="00B04D57" w:rsidRDefault="00B04D57" w:rsidP="00B04D57">
      <w:pPr>
        <w:pStyle w:val="Bibliography"/>
        <w:rPr>
          <w:rFonts w:ascii="Calibri" w:cs="Calibri"/>
        </w:rPr>
      </w:pPr>
      <w:r w:rsidRPr="00B04D57">
        <w:rPr>
          <w:rFonts w:ascii="Calibri" w:cs="Calibri"/>
          <w:lang w:val="es-419"/>
        </w:rPr>
        <w:t xml:space="preserve">Friedman, L., Alder, J. D., &amp; Silverman, J. A. (2006). </w:t>
      </w:r>
      <w:r w:rsidRPr="00B04D57">
        <w:rPr>
          <w:rFonts w:ascii="Calibri" w:cs="Calibri"/>
        </w:rPr>
        <w:t xml:space="preserve">Genetic Changes That Correlate with Reduced Susceptibility to Daptomycin in Staphylococcus aureus. </w:t>
      </w:r>
      <w:r w:rsidRPr="00B04D57">
        <w:rPr>
          <w:rFonts w:ascii="Calibri" w:cs="Calibri"/>
          <w:i/>
          <w:iCs/>
        </w:rPr>
        <w:t>Antimicrobial Agents and Chemotherapy</w:t>
      </w:r>
      <w:r w:rsidRPr="00B04D57">
        <w:rPr>
          <w:rFonts w:ascii="Calibri" w:cs="Calibri"/>
        </w:rPr>
        <w:t xml:space="preserve">, </w:t>
      </w:r>
      <w:r w:rsidRPr="00B04D57">
        <w:rPr>
          <w:rFonts w:ascii="Calibri" w:cs="Calibri"/>
          <w:i/>
          <w:iCs/>
        </w:rPr>
        <w:t>50</w:t>
      </w:r>
      <w:r w:rsidRPr="00B04D57">
        <w:rPr>
          <w:rFonts w:ascii="Calibri" w:cs="Calibri"/>
        </w:rPr>
        <w:t>(6), 2137–2145. https://doi.org/10.1128/aac.00039-06</w:t>
      </w:r>
    </w:p>
    <w:p w14:paraId="543836C4" w14:textId="77777777" w:rsidR="00B04D57" w:rsidRPr="00B04D57" w:rsidRDefault="00B04D57" w:rsidP="00B04D57">
      <w:pPr>
        <w:pStyle w:val="Bibliography"/>
        <w:rPr>
          <w:rFonts w:ascii="Calibri" w:cs="Calibri"/>
        </w:rPr>
      </w:pPr>
      <w:r w:rsidRPr="00B04D57">
        <w:rPr>
          <w:rFonts w:ascii="Calibri" w:cs="Calibri"/>
        </w:rPr>
        <w:t xml:space="preserve">Gabriel, S. E., &amp; </w:t>
      </w:r>
      <w:proofErr w:type="spellStart"/>
      <w:r w:rsidRPr="00B04D57">
        <w:rPr>
          <w:rFonts w:ascii="Calibri" w:cs="Calibri"/>
        </w:rPr>
        <w:t>Helmann</w:t>
      </w:r>
      <w:proofErr w:type="spellEnd"/>
      <w:r w:rsidRPr="00B04D57">
        <w:rPr>
          <w:rFonts w:ascii="Calibri" w:cs="Calibri"/>
        </w:rPr>
        <w:t xml:space="preserve">, J. D. (2009). Contributions of </w:t>
      </w:r>
      <w:proofErr w:type="spellStart"/>
      <w:r w:rsidRPr="00B04D57">
        <w:rPr>
          <w:rFonts w:ascii="Calibri" w:cs="Calibri"/>
        </w:rPr>
        <w:t>Zur</w:t>
      </w:r>
      <w:proofErr w:type="spellEnd"/>
      <w:r w:rsidRPr="00B04D57">
        <w:rPr>
          <w:rFonts w:ascii="Calibri" w:cs="Calibri"/>
        </w:rPr>
        <w:t xml:space="preserve">-Controlled Ribosomal Proteins to Growth under Zinc Starvation Conditions. </w:t>
      </w:r>
      <w:r w:rsidRPr="00B04D57">
        <w:rPr>
          <w:rFonts w:ascii="Calibri" w:cs="Calibri"/>
          <w:i/>
          <w:iCs/>
        </w:rPr>
        <w:t>Journal of Bacteriology</w:t>
      </w:r>
      <w:r w:rsidRPr="00B04D57">
        <w:rPr>
          <w:rFonts w:ascii="Calibri" w:cs="Calibri"/>
        </w:rPr>
        <w:t xml:space="preserve">, </w:t>
      </w:r>
      <w:r w:rsidRPr="00B04D57">
        <w:rPr>
          <w:rFonts w:ascii="Calibri" w:cs="Calibri"/>
          <w:i/>
          <w:iCs/>
        </w:rPr>
        <w:t>191</w:t>
      </w:r>
      <w:r w:rsidRPr="00B04D57">
        <w:rPr>
          <w:rFonts w:ascii="Calibri" w:cs="Calibri"/>
        </w:rPr>
        <w:t>(19), 6116–6122. https://doi.org/10.1128/JB.00802-09</w:t>
      </w:r>
    </w:p>
    <w:p w14:paraId="0B99DED7" w14:textId="77777777" w:rsidR="00B04D57" w:rsidRPr="00B04D57" w:rsidRDefault="00B04D57" w:rsidP="00B04D57">
      <w:pPr>
        <w:pStyle w:val="Bibliography"/>
        <w:rPr>
          <w:rFonts w:ascii="Calibri" w:cs="Calibri"/>
        </w:rPr>
      </w:pPr>
      <w:proofErr w:type="spellStart"/>
      <w:r w:rsidRPr="00B04D57">
        <w:rPr>
          <w:rFonts w:ascii="Calibri" w:cs="Calibri"/>
        </w:rPr>
        <w:t>Hanaki</w:t>
      </w:r>
      <w:proofErr w:type="spellEnd"/>
      <w:r w:rsidRPr="00B04D57">
        <w:rPr>
          <w:rFonts w:ascii="Calibri" w:cs="Calibri"/>
        </w:rPr>
        <w:t xml:space="preserve">, H., </w:t>
      </w:r>
      <w:proofErr w:type="spellStart"/>
      <w:r w:rsidRPr="00B04D57">
        <w:rPr>
          <w:rFonts w:ascii="Calibri" w:cs="Calibri"/>
        </w:rPr>
        <w:t>Kuwahara</w:t>
      </w:r>
      <w:proofErr w:type="spellEnd"/>
      <w:r w:rsidRPr="00B04D57">
        <w:rPr>
          <w:rFonts w:ascii="Calibri" w:cs="Calibri"/>
        </w:rPr>
        <w:t>-Arai, K., Boyle-</w:t>
      </w:r>
      <w:proofErr w:type="spellStart"/>
      <w:r w:rsidRPr="00B04D57">
        <w:rPr>
          <w:rFonts w:ascii="Calibri" w:cs="Calibri"/>
        </w:rPr>
        <w:t>Vavra</w:t>
      </w:r>
      <w:proofErr w:type="spellEnd"/>
      <w:r w:rsidRPr="00B04D57">
        <w:rPr>
          <w:rFonts w:ascii="Calibri" w:cs="Calibri"/>
        </w:rPr>
        <w:t xml:space="preserve">, S., </w:t>
      </w:r>
      <w:proofErr w:type="spellStart"/>
      <w:r w:rsidRPr="00B04D57">
        <w:rPr>
          <w:rFonts w:ascii="Calibri" w:cs="Calibri"/>
        </w:rPr>
        <w:t>Daum</w:t>
      </w:r>
      <w:proofErr w:type="spellEnd"/>
      <w:r w:rsidRPr="00B04D57">
        <w:rPr>
          <w:rFonts w:ascii="Calibri" w:cs="Calibri"/>
        </w:rPr>
        <w:t xml:space="preserve">, R. S., </w:t>
      </w:r>
      <w:proofErr w:type="spellStart"/>
      <w:r w:rsidRPr="00B04D57">
        <w:rPr>
          <w:rFonts w:ascii="Calibri" w:cs="Calibri"/>
        </w:rPr>
        <w:t>Labischinski</w:t>
      </w:r>
      <w:proofErr w:type="spellEnd"/>
      <w:r w:rsidRPr="00B04D57">
        <w:rPr>
          <w:rFonts w:ascii="Calibri" w:cs="Calibri"/>
        </w:rPr>
        <w:t xml:space="preserve">, H., &amp; </w:t>
      </w:r>
      <w:proofErr w:type="spellStart"/>
      <w:r w:rsidRPr="00B04D57">
        <w:rPr>
          <w:rFonts w:ascii="Calibri" w:cs="Calibri"/>
        </w:rPr>
        <w:t>Hiramatsu</w:t>
      </w:r>
      <w:proofErr w:type="spellEnd"/>
      <w:r w:rsidRPr="00B04D57">
        <w:rPr>
          <w:rFonts w:ascii="Calibri" w:cs="Calibri"/>
        </w:rPr>
        <w:t xml:space="preserve">, K. (1998). Activated cell-wall synthesis is associated with vancomycin resistance in methicillin-resistant Staphylococcus aureus clinical strains Mu3 and Mu50. </w:t>
      </w:r>
      <w:r w:rsidRPr="00B04D57">
        <w:rPr>
          <w:rFonts w:ascii="Calibri" w:cs="Calibri"/>
          <w:i/>
          <w:iCs/>
        </w:rPr>
        <w:t>Journal of Antimicrobial Chemotherapy</w:t>
      </w:r>
      <w:r w:rsidRPr="00B04D57">
        <w:rPr>
          <w:rFonts w:ascii="Calibri" w:cs="Calibri"/>
        </w:rPr>
        <w:t xml:space="preserve">, </w:t>
      </w:r>
      <w:r w:rsidRPr="00B04D57">
        <w:rPr>
          <w:rFonts w:ascii="Calibri" w:cs="Calibri"/>
          <w:i/>
          <w:iCs/>
        </w:rPr>
        <w:t>42</w:t>
      </w:r>
      <w:r w:rsidRPr="00B04D57">
        <w:rPr>
          <w:rFonts w:ascii="Calibri" w:cs="Calibri"/>
        </w:rPr>
        <w:t>(2), 199–209. https://doi.org/10.1093/jac/42.2.199</w:t>
      </w:r>
    </w:p>
    <w:p w14:paraId="29068538" w14:textId="77777777" w:rsidR="00B04D57" w:rsidRPr="00B04D57" w:rsidRDefault="00B04D57" w:rsidP="00B04D57">
      <w:pPr>
        <w:pStyle w:val="Bibliography"/>
        <w:rPr>
          <w:rFonts w:ascii="Calibri" w:cs="Calibri"/>
        </w:rPr>
      </w:pPr>
      <w:proofErr w:type="spellStart"/>
      <w:r w:rsidRPr="00B04D57">
        <w:rPr>
          <w:rFonts w:ascii="Calibri" w:cs="Calibri"/>
        </w:rPr>
        <w:t>Howden</w:t>
      </w:r>
      <w:proofErr w:type="spellEnd"/>
      <w:r w:rsidRPr="00B04D57">
        <w:rPr>
          <w:rFonts w:ascii="Calibri" w:cs="Calibri"/>
        </w:rPr>
        <w:t xml:space="preserve">, B. P., Davies, J. K., Johnson, P. D. R., </w:t>
      </w:r>
      <w:proofErr w:type="spellStart"/>
      <w:r w:rsidRPr="00B04D57">
        <w:rPr>
          <w:rFonts w:ascii="Calibri" w:cs="Calibri"/>
        </w:rPr>
        <w:t>Stinear</w:t>
      </w:r>
      <w:proofErr w:type="spellEnd"/>
      <w:r w:rsidRPr="00B04D57">
        <w:rPr>
          <w:rFonts w:ascii="Calibri" w:cs="Calibri"/>
        </w:rPr>
        <w:t xml:space="preserve">, T. P., &amp; Grayson, M. L. (2010). Reduced Vancomycin Susceptibility in Staphylococcus aureus, Including Vancomycin-Intermediate and Heterogeneous Vancomycin-Intermediate Strains: Resistance Mechanisms, Laboratory Detection, and Clinical Implications. </w:t>
      </w:r>
      <w:r w:rsidRPr="00B04D57">
        <w:rPr>
          <w:rFonts w:ascii="Calibri" w:cs="Calibri"/>
          <w:i/>
          <w:iCs/>
        </w:rPr>
        <w:t>Clinical Microbiology Reviews</w:t>
      </w:r>
      <w:r w:rsidRPr="00B04D57">
        <w:rPr>
          <w:rFonts w:ascii="Calibri" w:cs="Calibri"/>
        </w:rPr>
        <w:t xml:space="preserve">, </w:t>
      </w:r>
      <w:r w:rsidRPr="00B04D57">
        <w:rPr>
          <w:rFonts w:ascii="Calibri" w:cs="Calibri"/>
          <w:i/>
          <w:iCs/>
        </w:rPr>
        <w:t>23</w:t>
      </w:r>
      <w:r w:rsidRPr="00B04D57">
        <w:rPr>
          <w:rFonts w:ascii="Calibri" w:cs="Calibri"/>
        </w:rPr>
        <w:t>(1), 99–139. https://doi.org/10.1128/CMR.00042-09</w:t>
      </w:r>
    </w:p>
    <w:p w14:paraId="7A318823" w14:textId="77777777" w:rsidR="00B04D57" w:rsidRPr="00B04D57" w:rsidRDefault="00B04D57" w:rsidP="00B04D57">
      <w:pPr>
        <w:pStyle w:val="Bibliography"/>
        <w:rPr>
          <w:rFonts w:ascii="Calibri" w:cs="Calibri"/>
        </w:rPr>
      </w:pPr>
      <w:r w:rsidRPr="00B04D57">
        <w:rPr>
          <w:rFonts w:ascii="Calibri" w:cs="Calibri"/>
        </w:rPr>
        <w:t xml:space="preserve">Johnson, G. E., &amp; Li, G.-W. (2018). Chapter Ten—Genome-Wide Quantitation of Protein Synthesis Rates in Bacteria. In A. J. </w:t>
      </w:r>
      <w:proofErr w:type="spellStart"/>
      <w:r w:rsidRPr="00B04D57">
        <w:rPr>
          <w:rFonts w:ascii="Calibri" w:cs="Calibri"/>
        </w:rPr>
        <w:t>Carpousis</w:t>
      </w:r>
      <w:proofErr w:type="spellEnd"/>
      <w:r w:rsidRPr="00B04D57">
        <w:rPr>
          <w:rFonts w:ascii="Calibri" w:cs="Calibri"/>
        </w:rPr>
        <w:t xml:space="preserve"> (Ed.), </w:t>
      </w:r>
      <w:r w:rsidRPr="00B04D57">
        <w:rPr>
          <w:rFonts w:ascii="Calibri" w:cs="Calibri"/>
          <w:i/>
          <w:iCs/>
        </w:rPr>
        <w:t>Methods in Enzymology</w:t>
      </w:r>
      <w:r w:rsidRPr="00B04D57">
        <w:rPr>
          <w:rFonts w:ascii="Calibri" w:cs="Calibri"/>
        </w:rPr>
        <w:t xml:space="preserve"> (Vol. 612, pp. 225–249). Academic Press. https://doi.org/10.1016/bs.mie.2018.08.031</w:t>
      </w:r>
    </w:p>
    <w:p w14:paraId="59409BE7" w14:textId="77777777" w:rsidR="00B04D57" w:rsidRPr="00B04D57" w:rsidRDefault="00B04D57" w:rsidP="00B04D57">
      <w:pPr>
        <w:pStyle w:val="Bibliography"/>
        <w:rPr>
          <w:rFonts w:ascii="Calibri" w:cs="Calibri"/>
        </w:rPr>
      </w:pPr>
      <w:r w:rsidRPr="00B04D57">
        <w:rPr>
          <w:rFonts w:ascii="Calibri" w:cs="Calibri"/>
        </w:rPr>
        <w:lastRenderedPageBreak/>
        <w:t xml:space="preserve">McNutt, Z. A., Roy, B., </w:t>
      </w:r>
      <w:proofErr w:type="spellStart"/>
      <w:r w:rsidRPr="00B04D57">
        <w:rPr>
          <w:rFonts w:ascii="Calibri" w:cs="Calibri"/>
        </w:rPr>
        <w:t>Gemler</w:t>
      </w:r>
      <w:proofErr w:type="spellEnd"/>
      <w:r w:rsidRPr="00B04D57">
        <w:rPr>
          <w:rFonts w:ascii="Calibri" w:cs="Calibri"/>
        </w:rPr>
        <w:t xml:space="preserve">, B. T., </w:t>
      </w:r>
      <w:proofErr w:type="spellStart"/>
      <w:r w:rsidRPr="00B04D57">
        <w:rPr>
          <w:rFonts w:ascii="Calibri" w:cs="Calibri"/>
        </w:rPr>
        <w:t>Shatoff</w:t>
      </w:r>
      <w:proofErr w:type="spellEnd"/>
      <w:r w:rsidRPr="00B04D57">
        <w:rPr>
          <w:rFonts w:ascii="Calibri" w:cs="Calibri"/>
        </w:rPr>
        <w:t xml:space="preserve">, E. A., Moon, K.-M., Foster, L. J., </w:t>
      </w:r>
      <w:proofErr w:type="spellStart"/>
      <w:r w:rsidRPr="00B04D57">
        <w:rPr>
          <w:rFonts w:ascii="Calibri" w:cs="Calibri"/>
        </w:rPr>
        <w:t>Bundschuh</w:t>
      </w:r>
      <w:proofErr w:type="spellEnd"/>
      <w:r w:rsidRPr="00B04D57">
        <w:rPr>
          <w:rFonts w:ascii="Calibri" w:cs="Calibri"/>
        </w:rPr>
        <w:t xml:space="preserve">, R., &amp; Fredrick, K. (2023). Ribosomes lacking bS21 gain function to regulate protein synthesis in Flavobacterium johnsoniae. </w:t>
      </w:r>
      <w:r w:rsidRPr="00B04D57">
        <w:rPr>
          <w:rFonts w:ascii="Calibri" w:cs="Calibri"/>
          <w:i/>
          <w:iCs/>
        </w:rPr>
        <w:t>Nucleic Acids Research</w:t>
      </w:r>
      <w:r w:rsidRPr="00B04D57">
        <w:rPr>
          <w:rFonts w:ascii="Calibri" w:cs="Calibri"/>
        </w:rPr>
        <w:t xml:space="preserve">, </w:t>
      </w:r>
      <w:r w:rsidRPr="00B04D57">
        <w:rPr>
          <w:rFonts w:ascii="Calibri" w:cs="Calibri"/>
          <w:i/>
          <w:iCs/>
        </w:rPr>
        <w:t>51</w:t>
      </w:r>
      <w:r w:rsidRPr="00B04D57">
        <w:rPr>
          <w:rFonts w:ascii="Calibri" w:cs="Calibri"/>
        </w:rPr>
        <w:t>(4), 1927–1942. https://doi.org/10.1093/nar/gkad047</w:t>
      </w:r>
    </w:p>
    <w:p w14:paraId="1EA9CA0E" w14:textId="77777777" w:rsidR="00B04D57" w:rsidRPr="00B04D57" w:rsidRDefault="00B04D57" w:rsidP="00B04D57">
      <w:pPr>
        <w:pStyle w:val="Bibliography"/>
        <w:rPr>
          <w:rFonts w:ascii="Calibri" w:cs="Calibri"/>
        </w:rPr>
      </w:pPr>
      <w:proofErr w:type="spellStart"/>
      <w:r w:rsidRPr="00B04D57">
        <w:rPr>
          <w:rFonts w:ascii="Calibri" w:cs="Calibri"/>
        </w:rPr>
        <w:t>Metselaar</w:t>
      </w:r>
      <w:proofErr w:type="spellEnd"/>
      <w:r w:rsidRPr="00B04D57">
        <w:rPr>
          <w:rFonts w:ascii="Calibri" w:cs="Calibri"/>
        </w:rPr>
        <w:t xml:space="preserve">, K. I., den </w:t>
      </w:r>
      <w:proofErr w:type="spellStart"/>
      <w:r w:rsidRPr="00B04D57">
        <w:rPr>
          <w:rFonts w:ascii="Calibri" w:cs="Calibri"/>
        </w:rPr>
        <w:t>Besten</w:t>
      </w:r>
      <w:proofErr w:type="spellEnd"/>
      <w:r w:rsidRPr="00B04D57">
        <w:rPr>
          <w:rFonts w:ascii="Calibri" w:cs="Calibri"/>
        </w:rPr>
        <w:t xml:space="preserve">, H. M. W., Boekhorst, J., van </w:t>
      </w:r>
      <w:proofErr w:type="spellStart"/>
      <w:r w:rsidRPr="00B04D57">
        <w:rPr>
          <w:rFonts w:ascii="Calibri" w:cs="Calibri"/>
        </w:rPr>
        <w:t>Hijum</w:t>
      </w:r>
      <w:proofErr w:type="spellEnd"/>
      <w:r w:rsidRPr="00B04D57">
        <w:rPr>
          <w:rFonts w:ascii="Calibri" w:cs="Calibri"/>
        </w:rPr>
        <w:t xml:space="preserve">, S. A. F. T., </w:t>
      </w:r>
      <w:proofErr w:type="spellStart"/>
      <w:r w:rsidRPr="00B04D57">
        <w:rPr>
          <w:rFonts w:ascii="Calibri" w:cs="Calibri"/>
        </w:rPr>
        <w:t>Zwietering</w:t>
      </w:r>
      <w:proofErr w:type="spellEnd"/>
      <w:r w:rsidRPr="00B04D57">
        <w:rPr>
          <w:rFonts w:ascii="Calibri" w:cs="Calibri"/>
        </w:rPr>
        <w:t xml:space="preserve">, M. H., &amp; </w:t>
      </w:r>
      <w:proofErr w:type="spellStart"/>
      <w:r w:rsidRPr="00B04D57">
        <w:rPr>
          <w:rFonts w:ascii="Calibri" w:cs="Calibri"/>
        </w:rPr>
        <w:t>Abee</w:t>
      </w:r>
      <w:proofErr w:type="spellEnd"/>
      <w:r w:rsidRPr="00B04D57">
        <w:rPr>
          <w:rFonts w:ascii="Calibri" w:cs="Calibri"/>
        </w:rPr>
        <w:t xml:space="preserve">, T. (2015). Diversity of acid stress resistant variants of Listeria monocytogenes and the potential role of ribosomal protein S21 encoded by rpsU. </w:t>
      </w:r>
      <w:r w:rsidRPr="00B04D57">
        <w:rPr>
          <w:rFonts w:ascii="Calibri" w:cs="Calibri"/>
          <w:i/>
          <w:iCs/>
        </w:rPr>
        <w:t>Frontiers in Microbiology</w:t>
      </w:r>
      <w:r w:rsidRPr="00B04D57">
        <w:rPr>
          <w:rFonts w:ascii="Calibri" w:cs="Calibri"/>
        </w:rPr>
        <w:t xml:space="preserve">, </w:t>
      </w:r>
      <w:r w:rsidRPr="00B04D57">
        <w:rPr>
          <w:rFonts w:ascii="Calibri" w:cs="Calibri"/>
          <w:i/>
          <w:iCs/>
        </w:rPr>
        <w:t>6</w:t>
      </w:r>
      <w:r w:rsidRPr="00B04D57">
        <w:rPr>
          <w:rFonts w:ascii="Calibri" w:cs="Calibri"/>
        </w:rPr>
        <w:t>, 422. https://doi.org/10.3389/fmicb.2015.00422</w:t>
      </w:r>
    </w:p>
    <w:p w14:paraId="72B94C75" w14:textId="77777777" w:rsidR="00B04D57" w:rsidRPr="00B04D57" w:rsidRDefault="00B04D57" w:rsidP="00B04D57">
      <w:pPr>
        <w:pStyle w:val="Bibliography"/>
        <w:rPr>
          <w:rFonts w:ascii="Calibri" w:cs="Calibri"/>
        </w:rPr>
      </w:pPr>
      <w:r w:rsidRPr="00B04D57">
        <w:rPr>
          <w:rFonts w:ascii="Calibri" w:cs="Calibri"/>
        </w:rPr>
        <w:t xml:space="preserve">Miller, W. R., Bayer, A. S., &amp; Arias, C. A. (2016). Mechanism of Action and Resistance to Daptomycin in Staphylococcus aureus and Enterococci. </w:t>
      </w:r>
      <w:r w:rsidRPr="00B04D57">
        <w:rPr>
          <w:rFonts w:ascii="Calibri" w:cs="Calibri"/>
          <w:i/>
          <w:iCs/>
        </w:rPr>
        <w:t>Cold Spring Harbor Perspectives in Medicine</w:t>
      </w:r>
      <w:r w:rsidRPr="00B04D57">
        <w:rPr>
          <w:rFonts w:ascii="Calibri" w:cs="Calibri"/>
        </w:rPr>
        <w:t xml:space="preserve">, </w:t>
      </w:r>
      <w:r w:rsidRPr="00B04D57">
        <w:rPr>
          <w:rFonts w:ascii="Calibri" w:cs="Calibri"/>
          <w:i/>
          <w:iCs/>
        </w:rPr>
        <w:t>6</w:t>
      </w:r>
      <w:r w:rsidRPr="00B04D57">
        <w:rPr>
          <w:rFonts w:ascii="Calibri" w:cs="Calibri"/>
        </w:rPr>
        <w:t>(11), a026997. https://doi.org/10.1101/cshperspect.a026997</w:t>
      </w:r>
    </w:p>
    <w:p w14:paraId="49B70862" w14:textId="77777777" w:rsidR="00B04D57" w:rsidRPr="00B04D57" w:rsidRDefault="00B04D57" w:rsidP="00B04D57">
      <w:pPr>
        <w:pStyle w:val="Bibliography"/>
        <w:rPr>
          <w:rFonts w:ascii="Calibri" w:cs="Calibri"/>
        </w:rPr>
      </w:pPr>
      <w:r w:rsidRPr="00B04D57">
        <w:rPr>
          <w:rFonts w:ascii="Calibri" w:cs="Calibri"/>
        </w:rPr>
        <w:t xml:space="preserve">Mizushima, S., &amp; Nomura, M. (1970). Assembly Mapping of 30S Ribosomal Proteins from E. coli. </w:t>
      </w:r>
      <w:r w:rsidRPr="00B04D57">
        <w:rPr>
          <w:rFonts w:ascii="Calibri" w:cs="Calibri"/>
          <w:i/>
          <w:iCs/>
        </w:rPr>
        <w:t>Nature</w:t>
      </w:r>
      <w:r w:rsidRPr="00B04D57">
        <w:rPr>
          <w:rFonts w:ascii="Calibri" w:cs="Calibri"/>
        </w:rPr>
        <w:t xml:space="preserve">, </w:t>
      </w:r>
      <w:r w:rsidRPr="00B04D57">
        <w:rPr>
          <w:rFonts w:ascii="Calibri" w:cs="Calibri"/>
          <w:i/>
          <w:iCs/>
        </w:rPr>
        <w:t>226</w:t>
      </w:r>
      <w:r w:rsidRPr="00B04D57">
        <w:rPr>
          <w:rFonts w:ascii="Calibri" w:cs="Calibri"/>
        </w:rPr>
        <w:t>(5252), Article 5252. https://doi.org/10.1038/2261214a0</w:t>
      </w:r>
    </w:p>
    <w:p w14:paraId="0DC97664" w14:textId="77777777" w:rsidR="00B04D57" w:rsidRPr="00B04D57" w:rsidRDefault="00B04D57" w:rsidP="00B04D57">
      <w:pPr>
        <w:pStyle w:val="Bibliography"/>
        <w:rPr>
          <w:rFonts w:ascii="Calibri" w:cs="Calibri"/>
        </w:rPr>
      </w:pPr>
      <w:r w:rsidRPr="00B04D57">
        <w:rPr>
          <w:rFonts w:ascii="Calibri" w:cs="Calibri"/>
        </w:rPr>
        <w:t xml:space="preserve">Mohammad, F., &amp; Buskirk, A. R. (2019). Protocol for Ribosome Profiling in Bacteria. </w:t>
      </w:r>
      <w:r w:rsidRPr="00B04D57">
        <w:rPr>
          <w:rFonts w:ascii="Calibri" w:cs="Calibri"/>
          <w:i/>
          <w:iCs/>
        </w:rPr>
        <w:t>Bio-Protocol</w:t>
      </w:r>
      <w:r w:rsidRPr="00B04D57">
        <w:rPr>
          <w:rFonts w:ascii="Calibri" w:cs="Calibri"/>
        </w:rPr>
        <w:t xml:space="preserve">, </w:t>
      </w:r>
      <w:r w:rsidRPr="00B04D57">
        <w:rPr>
          <w:rFonts w:ascii="Calibri" w:cs="Calibri"/>
          <w:i/>
          <w:iCs/>
        </w:rPr>
        <w:t>9</w:t>
      </w:r>
      <w:r w:rsidRPr="00B04D57">
        <w:rPr>
          <w:rFonts w:ascii="Calibri" w:cs="Calibri"/>
        </w:rPr>
        <w:t>(24), e3468. https://doi.org/10.21769/BioProtoc.3468</w:t>
      </w:r>
    </w:p>
    <w:p w14:paraId="04CF8531" w14:textId="77777777" w:rsidR="00B04D57" w:rsidRPr="00B04D57" w:rsidRDefault="00B04D57" w:rsidP="00B04D57">
      <w:pPr>
        <w:pStyle w:val="Bibliography"/>
        <w:rPr>
          <w:rFonts w:ascii="Calibri" w:cs="Calibri"/>
        </w:rPr>
      </w:pPr>
      <w:r w:rsidRPr="00B04D57">
        <w:rPr>
          <w:rFonts w:ascii="Calibri" w:cs="Calibri"/>
        </w:rPr>
        <w:t xml:space="preserve">Müller, A., Wenzel, M., </w:t>
      </w:r>
      <w:proofErr w:type="spellStart"/>
      <w:r w:rsidRPr="00B04D57">
        <w:rPr>
          <w:rFonts w:ascii="Calibri" w:cs="Calibri"/>
        </w:rPr>
        <w:t>Strahl</w:t>
      </w:r>
      <w:proofErr w:type="spellEnd"/>
      <w:r w:rsidRPr="00B04D57">
        <w:rPr>
          <w:rFonts w:ascii="Calibri" w:cs="Calibri"/>
        </w:rPr>
        <w:t xml:space="preserve">, H., </w:t>
      </w:r>
      <w:proofErr w:type="spellStart"/>
      <w:r w:rsidRPr="00B04D57">
        <w:rPr>
          <w:rFonts w:ascii="Calibri" w:cs="Calibri"/>
        </w:rPr>
        <w:t>Grein</w:t>
      </w:r>
      <w:proofErr w:type="spellEnd"/>
      <w:r w:rsidRPr="00B04D57">
        <w:rPr>
          <w:rFonts w:ascii="Calibri" w:cs="Calibri"/>
        </w:rPr>
        <w:t xml:space="preserve">, F., </w:t>
      </w:r>
      <w:proofErr w:type="spellStart"/>
      <w:r w:rsidRPr="00B04D57">
        <w:rPr>
          <w:rFonts w:ascii="Calibri" w:cs="Calibri"/>
        </w:rPr>
        <w:t>Saaki</w:t>
      </w:r>
      <w:proofErr w:type="spellEnd"/>
      <w:r w:rsidRPr="00B04D57">
        <w:rPr>
          <w:rFonts w:ascii="Calibri" w:cs="Calibri"/>
        </w:rPr>
        <w:t xml:space="preserve">, T. N. V., Kohl, B., </w:t>
      </w:r>
      <w:proofErr w:type="spellStart"/>
      <w:r w:rsidRPr="00B04D57">
        <w:rPr>
          <w:rFonts w:ascii="Calibri" w:cs="Calibri"/>
        </w:rPr>
        <w:t>Siersma</w:t>
      </w:r>
      <w:proofErr w:type="spellEnd"/>
      <w:r w:rsidRPr="00B04D57">
        <w:rPr>
          <w:rFonts w:ascii="Calibri" w:cs="Calibri"/>
        </w:rPr>
        <w:t xml:space="preserve">, T., Bandow, J. E., </w:t>
      </w:r>
      <w:proofErr w:type="spellStart"/>
      <w:r w:rsidRPr="00B04D57">
        <w:rPr>
          <w:rFonts w:ascii="Calibri" w:cs="Calibri"/>
        </w:rPr>
        <w:t>Sahl</w:t>
      </w:r>
      <w:proofErr w:type="spellEnd"/>
      <w:r w:rsidRPr="00B04D57">
        <w:rPr>
          <w:rFonts w:ascii="Calibri" w:cs="Calibri"/>
        </w:rPr>
        <w:t xml:space="preserve">, H.-G., Schneider, T., &amp; </w:t>
      </w:r>
      <w:proofErr w:type="spellStart"/>
      <w:r w:rsidRPr="00B04D57">
        <w:rPr>
          <w:rFonts w:ascii="Calibri" w:cs="Calibri"/>
        </w:rPr>
        <w:t>Hamoen</w:t>
      </w:r>
      <w:proofErr w:type="spellEnd"/>
      <w:r w:rsidRPr="00B04D57">
        <w:rPr>
          <w:rFonts w:ascii="Calibri" w:cs="Calibri"/>
        </w:rPr>
        <w:t xml:space="preserve">, L. W. (2016). Daptomycin inhibits cell envelope synthesis by interfering with fluid membrane microdomains. </w:t>
      </w:r>
      <w:r w:rsidRPr="00B04D57">
        <w:rPr>
          <w:rFonts w:ascii="Calibri" w:cs="Calibri"/>
          <w:i/>
          <w:iCs/>
        </w:rPr>
        <w:t>Proceedings of the National Academy of Sciences of the United States of America</w:t>
      </w:r>
      <w:r w:rsidRPr="00B04D57">
        <w:rPr>
          <w:rFonts w:ascii="Calibri" w:cs="Calibri"/>
        </w:rPr>
        <w:t xml:space="preserve">, </w:t>
      </w:r>
      <w:r w:rsidRPr="00B04D57">
        <w:rPr>
          <w:rFonts w:ascii="Calibri" w:cs="Calibri"/>
          <w:i/>
          <w:iCs/>
        </w:rPr>
        <w:t>113</w:t>
      </w:r>
      <w:r w:rsidRPr="00B04D57">
        <w:rPr>
          <w:rFonts w:ascii="Calibri" w:cs="Calibri"/>
        </w:rPr>
        <w:t>(45), E7077. https://doi.org/10.1073/pnas.1611173113</w:t>
      </w:r>
    </w:p>
    <w:p w14:paraId="28355862" w14:textId="77777777" w:rsidR="00B04D57" w:rsidRPr="00B04D57" w:rsidRDefault="00B04D57" w:rsidP="00B04D57">
      <w:pPr>
        <w:pStyle w:val="Bibliography"/>
        <w:rPr>
          <w:rFonts w:ascii="Calibri" w:cs="Calibri"/>
        </w:rPr>
      </w:pPr>
      <w:r w:rsidRPr="00B04D57">
        <w:rPr>
          <w:rFonts w:ascii="Calibri" w:cs="Calibri"/>
        </w:rPr>
        <w:t xml:space="preserve">Robertson, W. R., </w:t>
      </w:r>
      <w:proofErr w:type="spellStart"/>
      <w:r w:rsidRPr="00B04D57">
        <w:rPr>
          <w:rFonts w:ascii="Calibri" w:cs="Calibri"/>
        </w:rPr>
        <w:t>Dowsett</w:t>
      </w:r>
      <w:proofErr w:type="spellEnd"/>
      <w:r w:rsidRPr="00B04D57">
        <w:rPr>
          <w:rFonts w:ascii="Calibri" w:cs="Calibri"/>
        </w:rPr>
        <w:t xml:space="preserve">, S. J., &amp; Hardy, S. J. S. (n.d.). </w:t>
      </w:r>
      <w:r w:rsidRPr="00B04D57">
        <w:rPr>
          <w:rFonts w:ascii="Calibri" w:cs="Calibri"/>
          <w:i/>
          <w:iCs/>
        </w:rPr>
        <w:t xml:space="preserve">Exchange of Ribosomal Proteins among the Ribosomes of Escherichia </w:t>
      </w:r>
      <w:proofErr w:type="spellStart"/>
      <w:r w:rsidRPr="00B04D57">
        <w:rPr>
          <w:rFonts w:ascii="Calibri" w:cs="Calibri"/>
          <w:i/>
          <w:iCs/>
        </w:rPr>
        <w:t>coil</w:t>
      </w:r>
      <w:proofErr w:type="spellEnd"/>
      <w:r w:rsidRPr="00B04D57">
        <w:rPr>
          <w:rFonts w:ascii="Calibri" w:cs="Calibri"/>
        </w:rPr>
        <w:t>.</w:t>
      </w:r>
    </w:p>
    <w:p w14:paraId="218C6831" w14:textId="77777777" w:rsidR="00B04D57" w:rsidRPr="00B04D57" w:rsidRDefault="00B04D57" w:rsidP="00B04D57">
      <w:pPr>
        <w:pStyle w:val="Bibliography"/>
        <w:rPr>
          <w:rFonts w:ascii="Calibri" w:cs="Calibri"/>
        </w:rPr>
      </w:pPr>
      <w:proofErr w:type="spellStart"/>
      <w:r w:rsidRPr="00B04D57">
        <w:rPr>
          <w:rFonts w:ascii="Calibri" w:cs="Calibri"/>
        </w:rPr>
        <w:lastRenderedPageBreak/>
        <w:t>Sader</w:t>
      </w:r>
      <w:proofErr w:type="spellEnd"/>
      <w:r w:rsidRPr="00B04D57">
        <w:rPr>
          <w:rFonts w:ascii="Calibri" w:cs="Calibri"/>
        </w:rPr>
        <w:t xml:space="preserve">, H. S., Fey, P. D., Fish, D. N., Limaye, A. P., </w:t>
      </w:r>
      <w:proofErr w:type="spellStart"/>
      <w:r w:rsidRPr="00B04D57">
        <w:rPr>
          <w:rFonts w:ascii="Calibri" w:cs="Calibri"/>
        </w:rPr>
        <w:t>Pankey</w:t>
      </w:r>
      <w:proofErr w:type="spellEnd"/>
      <w:r w:rsidRPr="00B04D57">
        <w:rPr>
          <w:rFonts w:ascii="Calibri" w:cs="Calibri"/>
        </w:rPr>
        <w:t xml:space="preserve">, G., Rahal, J., Rybak, M. J., </w:t>
      </w:r>
      <w:proofErr w:type="spellStart"/>
      <w:r w:rsidRPr="00B04D57">
        <w:rPr>
          <w:rFonts w:ascii="Calibri" w:cs="Calibri"/>
        </w:rPr>
        <w:t>Snydman</w:t>
      </w:r>
      <w:proofErr w:type="spellEnd"/>
      <w:r w:rsidRPr="00B04D57">
        <w:rPr>
          <w:rFonts w:ascii="Calibri" w:cs="Calibri"/>
        </w:rPr>
        <w:t xml:space="preserve">, D. R., Steed, L. L., Waites, K., &amp; Jones, R. N. (2009). Evaluation of Vancomycin and Daptomycin Potency Trends (MIC Creep) against Methicillin-Resistant Staphylococcus aureus Isolates Collected in Nine U.S. Medical Centers from 2002 to 2006. </w:t>
      </w:r>
      <w:r w:rsidRPr="00B04D57">
        <w:rPr>
          <w:rFonts w:ascii="Calibri" w:cs="Calibri"/>
          <w:i/>
          <w:iCs/>
        </w:rPr>
        <w:t>Antimicrobial Agents and Chemotherapy</w:t>
      </w:r>
      <w:r w:rsidRPr="00B04D57">
        <w:rPr>
          <w:rFonts w:ascii="Calibri" w:cs="Calibri"/>
        </w:rPr>
        <w:t xml:space="preserve">, </w:t>
      </w:r>
      <w:r w:rsidRPr="00B04D57">
        <w:rPr>
          <w:rFonts w:ascii="Calibri" w:cs="Calibri"/>
          <w:i/>
          <w:iCs/>
        </w:rPr>
        <w:t>53</w:t>
      </w:r>
      <w:r w:rsidRPr="00B04D57">
        <w:rPr>
          <w:rFonts w:ascii="Calibri" w:cs="Calibri"/>
        </w:rPr>
        <w:t>(10), 4127. https://doi.org/10.1128/AAC.00616-09</w:t>
      </w:r>
    </w:p>
    <w:p w14:paraId="2285E94F" w14:textId="77777777" w:rsidR="00B04D57" w:rsidRPr="00B04D57" w:rsidRDefault="00B04D57" w:rsidP="00B04D57">
      <w:pPr>
        <w:pStyle w:val="Bibliography"/>
        <w:rPr>
          <w:rFonts w:ascii="Calibri" w:cs="Calibri"/>
          <w:lang w:val="es-419"/>
        </w:rPr>
      </w:pPr>
      <w:proofErr w:type="spellStart"/>
      <w:r w:rsidRPr="00B04D57">
        <w:rPr>
          <w:rFonts w:ascii="Calibri" w:cs="Calibri"/>
        </w:rPr>
        <w:t>Sauert</w:t>
      </w:r>
      <w:proofErr w:type="spellEnd"/>
      <w:r w:rsidRPr="00B04D57">
        <w:rPr>
          <w:rFonts w:ascii="Calibri" w:cs="Calibri"/>
        </w:rPr>
        <w:t xml:space="preserve">, M., </w:t>
      </w:r>
      <w:proofErr w:type="spellStart"/>
      <w:r w:rsidRPr="00B04D57">
        <w:rPr>
          <w:rFonts w:ascii="Calibri" w:cs="Calibri"/>
        </w:rPr>
        <w:t>Temmel</w:t>
      </w:r>
      <w:proofErr w:type="spellEnd"/>
      <w:r w:rsidRPr="00B04D57">
        <w:rPr>
          <w:rFonts w:ascii="Calibri" w:cs="Calibri"/>
        </w:rPr>
        <w:t xml:space="preserve">, H., &amp; Moll, I. (2015). Heterogeneity of the translational machinery: Variations on a common theme. </w:t>
      </w:r>
      <w:r w:rsidRPr="00B04D57">
        <w:rPr>
          <w:rFonts w:ascii="Calibri" w:cs="Calibri"/>
          <w:i/>
          <w:iCs/>
          <w:lang w:val="es-419"/>
        </w:rPr>
        <w:t>Biochimie</w:t>
      </w:r>
      <w:r w:rsidRPr="00B04D57">
        <w:rPr>
          <w:rFonts w:ascii="Calibri" w:cs="Calibri"/>
          <w:lang w:val="es-419"/>
        </w:rPr>
        <w:t xml:space="preserve">, </w:t>
      </w:r>
      <w:r w:rsidRPr="00B04D57">
        <w:rPr>
          <w:rFonts w:ascii="Calibri" w:cs="Calibri"/>
          <w:i/>
          <w:iCs/>
          <w:lang w:val="es-419"/>
        </w:rPr>
        <w:t>114</w:t>
      </w:r>
      <w:r w:rsidRPr="00B04D57">
        <w:rPr>
          <w:rFonts w:ascii="Calibri" w:cs="Calibri"/>
          <w:lang w:val="es-419"/>
        </w:rPr>
        <w:t>, 39–47. https://doi.org/10.1016/j.biochi.2014.12.011</w:t>
      </w:r>
    </w:p>
    <w:p w14:paraId="06543672" w14:textId="77777777" w:rsidR="00B04D57" w:rsidRPr="00B04D57" w:rsidRDefault="00B04D57" w:rsidP="00B04D57">
      <w:pPr>
        <w:pStyle w:val="Bibliography"/>
        <w:rPr>
          <w:rFonts w:ascii="Calibri" w:cs="Calibri"/>
        </w:rPr>
      </w:pPr>
      <w:r w:rsidRPr="00B04D57">
        <w:rPr>
          <w:rFonts w:ascii="Calibri" w:cs="Calibri"/>
          <w:lang w:val="es-419"/>
        </w:rPr>
        <w:t xml:space="preserve">Takada, H., Morita, M., Shiwa, Y., Sugimoto, R., Suzuki, S., Kawamura, F., &amp; Yoshikawa, H. (2014). </w:t>
      </w:r>
      <w:r w:rsidRPr="00B04D57">
        <w:rPr>
          <w:rFonts w:ascii="Calibri" w:cs="Calibri"/>
        </w:rPr>
        <w:t xml:space="preserve">Cell motility and biofilm formation in </w:t>
      </w:r>
      <w:r w:rsidRPr="00B04D57">
        <w:rPr>
          <w:rFonts w:ascii="Calibri" w:cs="Calibri"/>
          <w:i/>
          <w:iCs/>
        </w:rPr>
        <w:t>Bacillus subtilis</w:t>
      </w:r>
      <w:r w:rsidRPr="00B04D57">
        <w:rPr>
          <w:rFonts w:ascii="Calibri" w:cs="Calibri"/>
        </w:rPr>
        <w:t xml:space="preserve"> are affected by the ribosomal proteins, S11 and S21. </w:t>
      </w:r>
      <w:r w:rsidRPr="00B04D57">
        <w:rPr>
          <w:rFonts w:ascii="Calibri" w:cs="Calibri"/>
          <w:i/>
          <w:iCs/>
        </w:rPr>
        <w:t>Bioscience, Biotechnology, and Biochemistry</w:t>
      </w:r>
      <w:r w:rsidRPr="00B04D57">
        <w:rPr>
          <w:rFonts w:ascii="Calibri" w:cs="Calibri"/>
        </w:rPr>
        <w:t xml:space="preserve">, </w:t>
      </w:r>
      <w:r w:rsidRPr="00B04D57">
        <w:rPr>
          <w:rFonts w:ascii="Calibri" w:cs="Calibri"/>
          <w:i/>
          <w:iCs/>
        </w:rPr>
        <w:t>78</w:t>
      </w:r>
      <w:r w:rsidRPr="00B04D57">
        <w:rPr>
          <w:rFonts w:ascii="Calibri" w:cs="Calibri"/>
        </w:rPr>
        <w:t>(5), 898–907. https://doi.org/10.1080/09168451.2014.915729</w:t>
      </w:r>
    </w:p>
    <w:p w14:paraId="67B97679" w14:textId="77777777" w:rsidR="00B04D57" w:rsidRPr="00B04D57" w:rsidRDefault="00B04D57" w:rsidP="00B04D57">
      <w:pPr>
        <w:pStyle w:val="Bibliography"/>
        <w:rPr>
          <w:rFonts w:ascii="Calibri" w:cs="Calibri"/>
        </w:rPr>
      </w:pPr>
      <w:proofErr w:type="spellStart"/>
      <w:r w:rsidRPr="00B04D57">
        <w:rPr>
          <w:rFonts w:ascii="Calibri" w:cs="Calibri"/>
        </w:rPr>
        <w:t>Trautmann</w:t>
      </w:r>
      <w:proofErr w:type="spellEnd"/>
      <w:r w:rsidRPr="00B04D57">
        <w:rPr>
          <w:rFonts w:ascii="Calibri" w:cs="Calibri"/>
        </w:rPr>
        <w:t xml:space="preserve">, H. S., &amp; Ramsey, K. M. (2022). A Ribosomal Protein Homolog Governs Gene Expression and Virulence in a Bacterial Pathogen. </w:t>
      </w:r>
      <w:r w:rsidRPr="00B04D57">
        <w:rPr>
          <w:rFonts w:ascii="Calibri" w:cs="Calibri"/>
          <w:i/>
          <w:iCs/>
        </w:rPr>
        <w:t>Journal of Bacteriology</w:t>
      </w:r>
      <w:r w:rsidRPr="00B04D57">
        <w:rPr>
          <w:rFonts w:ascii="Calibri" w:cs="Calibri"/>
        </w:rPr>
        <w:t xml:space="preserve">, </w:t>
      </w:r>
      <w:r w:rsidRPr="00B04D57">
        <w:rPr>
          <w:rFonts w:ascii="Calibri" w:cs="Calibri"/>
          <w:i/>
          <w:iCs/>
        </w:rPr>
        <w:t>204</w:t>
      </w:r>
      <w:r w:rsidRPr="00B04D57">
        <w:rPr>
          <w:rFonts w:ascii="Calibri" w:cs="Calibri"/>
        </w:rPr>
        <w:t>(10), e00268-22. https://doi.org/10.1128/jb.00268-22</w:t>
      </w:r>
    </w:p>
    <w:p w14:paraId="5102EF99" w14:textId="77777777" w:rsidR="00B04D57" w:rsidRPr="00B04D57" w:rsidRDefault="00B04D57" w:rsidP="00B04D57">
      <w:pPr>
        <w:pStyle w:val="Bibliography"/>
        <w:rPr>
          <w:rFonts w:ascii="Calibri" w:cs="Calibri"/>
        </w:rPr>
      </w:pPr>
      <w:r w:rsidRPr="00B04D57">
        <w:rPr>
          <w:rFonts w:ascii="Calibri" w:cs="Calibri"/>
        </w:rPr>
        <w:t xml:space="preserve">Van </w:t>
      </w:r>
      <w:proofErr w:type="spellStart"/>
      <w:r w:rsidRPr="00B04D57">
        <w:rPr>
          <w:rFonts w:ascii="Calibri" w:cs="Calibri"/>
        </w:rPr>
        <w:t>Duin</w:t>
      </w:r>
      <w:proofErr w:type="spellEnd"/>
      <w:r w:rsidRPr="00B04D57">
        <w:rPr>
          <w:rFonts w:ascii="Calibri" w:cs="Calibri"/>
        </w:rPr>
        <w:t xml:space="preserve">, J., &amp; </w:t>
      </w:r>
      <w:proofErr w:type="spellStart"/>
      <w:r w:rsidRPr="00B04D57">
        <w:rPr>
          <w:rFonts w:ascii="Calibri" w:cs="Calibri"/>
        </w:rPr>
        <w:t>Wijnands</w:t>
      </w:r>
      <w:proofErr w:type="spellEnd"/>
      <w:r w:rsidRPr="00B04D57">
        <w:rPr>
          <w:rFonts w:ascii="Calibri" w:cs="Calibri"/>
        </w:rPr>
        <w:t xml:space="preserve">, R. (1981). The Function of Ribosomal Protein S21 in Protein Synthesis. </w:t>
      </w:r>
      <w:r w:rsidRPr="00B04D57">
        <w:rPr>
          <w:rFonts w:ascii="Calibri" w:cs="Calibri"/>
          <w:i/>
          <w:iCs/>
        </w:rPr>
        <w:t>European Journal of Biochemistry</w:t>
      </w:r>
      <w:r w:rsidRPr="00B04D57">
        <w:rPr>
          <w:rFonts w:ascii="Calibri" w:cs="Calibri"/>
        </w:rPr>
        <w:t xml:space="preserve">, </w:t>
      </w:r>
      <w:r w:rsidRPr="00B04D57">
        <w:rPr>
          <w:rFonts w:ascii="Calibri" w:cs="Calibri"/>
          <w:i/>
          <w:iCs/>
        </w:rPr>
        <w:t>118</w:t>
      </w:r>
      <w:r w:rsidRPr="00B04D57">
        <w:rPr>
          <w:rFonts w:ascii="Calibri" w:cs="Calibri"/>
        </w:rPr>
        <w:t>(3), 615–619. https://doi.org/10.1111/j.1432-1033.1981.tb05563.x</w:t>
      </w:r>
    </w:p>
    <w:p w14:paraId="4AB03E99" w14:textId="15D774CB" w:rsidR="005953BC" w:rsidRPr="005953BC" w:rsidRDefault="005E743B" w:rsidP="005953BC">
      <w:pPr>
        <w:rPr>
          <w:rFonts w:cstheme="minorHAnsi"/>
          <w:b/>
          <w:bCs/>
        </w:rPr>
      </w:pPr>
      <w:r>
        <w:rPr>
          <w:rFonts w:cstheme="minorHAnsi"/>
          <w:b/>
          <w:bCs/>
        </w:rPr>
        <w:fldChar w:fldCharType="end"/>
      </w:r>
    </w:p>
    <w:sectPr w:rsidR="005953BC" w:rsidRPr="005953B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D8F2" w14:textId="77777777" w:rsidR="000149D0" w:rsidRDefault="000149D0" w:rsidP="00047A43">
      <w:pPr>
        <w:spacing w:after="0" w:line="240" w:lineRule="auto"/>
      </w:pPr>
      <w:r>
        <w:separator/>
      </w:r>
    </w:p>
  </w:endnote>
  <w:endnote w:type="continuationSeparator" w:id="0">
    <w:p w14:paraId="14CBB282" w14:textId="77777777" w:rsidR="000149D0" w:rsidRDefault="000149D0" w:rsidP="0004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6644" w14:textId="77777777" w:rsidR="00047A43" w:rsidRDefault="00047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8299" w14:textId="77777777" w:rsidR="00047A43" w:rsidRDefault="00047A4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1CC582F" w14:textId="77777777" w:rsidR="00047A43" w:rsidRDefault="00047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CB08" w14:textId="77777777" w:rsidR="00047A43" w:rsidRDefault="0004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24879" w14:textId="77777777" w:rsidR="000149D0" w:rsidRDefault="000149D0" w:rsidP="00047A43">
      <w:pPr>
        <w:spacing w:after="0" w:line="240" w:lineRule="auto"/>
      </w:pPr>
      <w:r>
        <w:separator/>
      </w:r>
    </w:p>
  </w:footnote>
  <w:footnote w:type="continuationSeparator" w:id="0">
    <w:p w14:paraId="72E2E52F" w14:textId="77777777" w:rsidR="000149D0" w:rsidRDefault="000149D0" w:rsidP="00047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F600" w14:textId="77777777" w:rsidR="00047A43" w:rsidRDefault="00047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707E" w14:textId="77777777" w:rsidR="00047A43" w:rsidRDefault="00047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34AD" w14:textId="77777777" w:rsidR="00047A43" w:rsidRDefault="00047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5EAD"/>
    <w:multiLevelType w:val="hybridMultilevel"/>
    <w:tmpl w:val="842E6C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1453C"/>
    <w:multiLevelType w:val="hybridMultilevel"/>
    <w:tmpl w:val="9B126A5C"/>
    <w:lvl w:ilvl="0" w:tplc="4ADEA30C">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 w15:restartNumberingAfterBreak="0">
    <w:nsid w:val="5FE3613E"/>
    <w:multiLevelType w:val="hybridMultilevel"/>
    <w:tmpl w:val="9E80397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A03C8"/>
    <w:multiLevelType w:val="hybridMultilevel"/>
    <w:tmpl w:val="D1C6166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77B82"/>
    <w:multiLevelType w:val="hybridMultilevel"/>
    <w:tmpl w:val="D930BD2A"/>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9D9440C"/>
    <w:multiLevelType w:val="hybridMultilevel"/>
    <w:tmpl w:val="79727F8A"/>
    <w:lvl w:ilvl="0" w:tplc="FFFFFFF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16cid:durableId="140584480">
    <w:abstractNumId w:val="3"/>
  </w:num>
  <w:num w:numId="2" w16cid:durableId="955018690">
    <w:abstractNumId w:val="4"/>
  </w:num>
  <w:num w:numId="3" w16cid:durableId="996420142">
    <w:abstractNumId w:val="2"/>
  </w:num>
  <w:num w:numId="4" w16cid:durableId="671105652">
    <w:abstractNumId w:val="0"/>
  </w:num>
  <w:num w:numId="5" w16cid:durableId="1591505524">
    <w:abstractNumId w:val="1"/>
  </w:num>
  <w:num w:numId="6" w16cid:durableId="807942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66"/>
    <w:rsid w:val="000149D0"/>
    <w:rsid w:val="00047A43"/>
    <w:rsid w:val="00067FF2"/>
    <w:rsid w:val="000817F6"/>
    <w:rsid w:val="000877B7"/>
    <w:rsid w:val="000C3D42"/>
    <w:rsid w:val="000C798D"/>
    <w:rsid w:val="000E7C54"/>
    <w:rsid w:val="00101E6B"/>
    <w:rsid w:val="001401FB"/>
    <w:rsid w:val="00175966"/>
    <w:rsid w:val="00176876"/>
    <w:rsid w:val="001B6F1A"/>
    <w:rsid w:val="001E67F4"/>
    <w:rsid w:val="001F3A73"/>
    <w:rsid w:val="00204520"/>
    <w:rsid w:val="00241B81"/>
    <w:rsid w:val="00255F29"/>
    <w:rsid w:val="00317C65"/>
    <w:rsid w:val="003621C5"/>
    <w:rsid w:val="003E3718"/>
    <w:rsid w:val="00425A18"/>
    <w:rsid w:val="0045354E"/>
    <w:rsid w:val="0046128A"/>
    <w:rsid w:val="00471AC8"/>
    <w:rsid w:val="004C25F0"/>
    <w:rsid w:val="004E6323"/>
    <w:rsid w:val="0053769C"/>
    <w:rsid w:val="00543D20"/>
    <w:rsid w:val="005953BC"/>
    <w:rsid w:val="005E4B42"/>
    <w:rsid w:val="005E743B"/>
    <w:rsid w:val="00603E29"/>
    <w:rsid w:val="00606F59"/>
    <w:rsid w:val="00612098"/>
    <w:rsid w:val="00622984"/>
    <w:rsid w:val="006375EF"/>
    <w:rsid w:val="006B37C2"/>
    <w:rsid w:val="006B4013"/>
    <w:rsid w:val="006C19F4"/>
    <w:rsid w:val="00715B1D"/>
    <w:rsid w:val="0072548A"/>
    <w:rsid w:val="007C1748"/>
    <w:rsid w:val="007D39D0"/>
    <w:rsid w:val="007F50D6"/>
    <w:rsid w:val="008155BC"/>
    <w:rsid w:val="00830EBC"/>
    <w:rsid w:val="00833864"/>
    <w:rsid w:val="008A2C3C"/>
    <w:rsid w:val="008A489A"/>
    <w:rsid w:val="008C5502"/>
    <w:rsid w:val="00917489"/>
    <w:rsid w:val="009415F1"/>
    <w:rsid w:val="009510E3"/>
    <w:rsid w:val="0096330A"/>
    <w:rsid w:val="00982C0E"/>
    <w:rsid w:val="00984EE7"/>
    <w:rsid w:val="00A015A6"/>
    <w:rsid w:val="00A534CD"/>
    <w:rsid w:val="00A6115F"/>
    <w:rsid w:val="00A82C32"/>
    <w:rsid w:val="00AF1C26"/>
    <w:rsid w:val="00B0150E"/>
    <w:rsid w:val="00B04D57"/>
    <w:rsid w:val="00B1577A"/>
    <w:rsid w:val="00B16F9C"/>
    <w:rsid w:val="00B70F65"/>
    <w:rsid w:val="00B76D64"/>
    <w:rsid w:val="00B924C5"/>
    <w:rsid w:val="00C06E53"/>
    <w:rsid w:val="00C32209"/>
    <w:rsid w:val="00C80317"/>
    <w:rsid w:val="00C86560"/>
    <w:rsid w:val="00C93EAD"/>
    <w:rsid w:val="00CA306D"/>
    <w:rsid w:val="00CC3C29"/>
    <w:rsid w:val="00CE421E"/>
    <w:rsid w:val="00CF31EC"/>
    <w:rsid w:val="00DF22F4"/>
    <w:rsid w:val="00E341AA"/>
    <w:rsid w:val="00E37550"/>
    <w:rsid w:val="00E82F6A"/>
    <w:rsid w:val="00E93530"/>
    <w:rsid w:val="00EB6484"/>
    <w:rsid w:val="00ED286C"/>
    <w:rsid w:val="00ED3CA8"/>
    <w:rsid w:val="00EF6056"/>
    <w:rsid w:val="00EF64DC"/>
    <w:rsid w:val="00F01F19"/>
    <w:rsid w:val="00F11D2B"/>
    <w:rsid w:val="00F4637B"/>
    <w:rsid w:val="00F47B1A"/>
    <w:rsid w:val="00F52B26"/>
    <w:rsid w:val="00FA14EA"/>
    <w:rsid w:val="00FA1C18"/>
    <w:rsid w:val="00FA6493"/>
    <w:rsid w:val="00FE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3180"/>
  <w15:chartTrackingRefBased/>
  <w15:docId w15:val="{AC553FA0-7C1F-3B4E-9E12-661969A9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66"/>
    <w:pPr>
      <w:ind w:left="720"/>
      <w:contextualSpacing/>
    </w:pPr>
  </w:style>
  <w:style w:type="character" w:styleId="CommentReference">
    <w:name w:val="annotation reference"/>
    <w:basedOn w:val="DefaultParagraphFont"/>
    <w:uiPriority w:val="99"/>
    <w:semiHidden/>
    <w:unhideWhenUsed/>
    <w:rsid w:val="008A489A"/>
    <w:rPr>
      <w:sz w:val="16"/>
      <w:szCs w:val="16"/>
    </w:rPr>
  </w:style>
  <w:style w:type="paragraph" w:styleId="CommentText">
    <w:name w:val="annotation text"/>
    <w:basedOn w:val="Normal"/>
    <w:link w:val="CommentTextChar"/>
    <w:uiPriority w:val="99"/>
    <w:semiHidden/>
    <w:unhideWhenUsed/>
    <w:rsid w:val="008A489A"/>
    <w:pPr>
      <w:spacing w:line="240" w:lineRule="auto"/>
    </w:pPr>
    <w:rPr>
      <w:sz w:val="20"/>
      <w:szCs w:val="20"/>
    </w:rPr>
  </w:style>
  <w:style w:type="character" w:customStyle="1" w:styleId="CommentTextChar">
    <w:name w:val="Comment Text Char"/>
    <w:basedOn w:val="DefaultParagraphFont"/>
    <w:link w:val="CommentText"/>
    <w:uiPriority w:val="99"/>
    <w:semiHidden/>
    <w:rsid w:val="008A489A"/>
    <w:rPr>
      <w:sz w:val="20"/>
      <w:szCs w:val="20"/>
    </w:rPr>
  </w:style>
  <w:style w:type="character" w:styleId="Hyperlink">
    <w:name w:val="Hyperlink"/>
    <w:basedOn w:val="DefaultParagraphFont"/>
    <w:uiPriority w:val="99"/>
    <w:unhideWhenUsed/>
    <w:rsid w:val="005953BC"/>
    <w:rPr>
      <w:color w:val="0000FF"/>
      <w:u w:val="single"/>
    </w:rPr>
  </w:style>
  <w:style w:type="character" w:styleId="UnresolvedMention">
    <w:name w:val="Unresolved Mention"/>
    <w:basedOn w:val="DefaultParagraphFont"/>
    <w:uiPriority w:val="99"/>
    <w:semiHidden/>
    <w:unhideWhenUsed/>
    <w:rsid w:val="005953BC"/>
    <w:rPr>
      <w:color w:val="605E5C"/>
      <w:shd w:val="clear" w:color="auto" w:fill="E1DFDD"/>
    </w:rPr>
  </w:style>
  <w:style w:type="paragraph" w:styleId="Header">
    <w:name w:val="header"/>
    <w:basedOn w:val="Normal"/>
    <w:link w:val="HeaderChar"/>
    <w:uiPriority w:val="99"/>
    <w:unhideWhenUsed/>
    <w:rsid w:val="00047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A43"/>
  </w:style>
  <w:style w:type="paragraph" w:styleId="Footer">
    <w:name w:val="footer"/>
    <w:basedOn w:val="Normal"/>
    <w:link w:val="FooterChar"/>
    <w:uiPriority w:val="99"/>
    <w:unhideWhenUsed/>
    <w:rsid w:val="00047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A43"/>
  </w:style>
  <w:style w:type="paragraph" w:styleId="Caption">
    <w:name w:val="caption"/>
    <w:basedOn w:val="Normal"/>
    <w:next w:val="Normal"/>
    <w:uiPriority w:val="35"/>
    <w:unhideWhenUsed/>
    <w:qFormat/>
    <w:rsid w:val="00EF6056"/>
    <w:pPr>
      <w:spacing w:line="240" w:lineRule="auto"/>
    </w:pPr>
    <w:rPr>
      <w:i/>
      <w:iCs/>
      <w:color w:val="44546A" w:themeColor="text2"/>
      <w:sz w:val="18"/>
      <w:szCs w:val="18"/>
    </w:rPr>
  </w:style>
  <w:style w:type="paragraph" w:styleId="Bibliography">
    <w:name w:val="Bibliography"/>
    <w:basedOn w:val="Normal"/>
    <w:next w:val="Normal"/>
    <w:uiPriority w:val="37"/>
    <w:unhideWhenUsed/>
    <w:rsid w:val="005E743B"/>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0544">
      <w:bodyDiv w:val="1"/>
      <w:marLeft w:val="0"/>
      <w:marRight w:val="0"/>
      <w:marTop w:val="0"/>
      <w:marBottom w:val="0"/>
      <w:divBdr>
        <w:top w:val="none" w:sz="0" w:space="0" w:color="auto"/>
        <w:left w:val="none" w:sz="0" w:space="0" w:color="auto"/>
        <w:bottom w:val="none" w:sz="0" w:space="0" w:color="auto"/>
        <w:right w:val="none" w:sz="0" w:space="0" w:color="auto"/>
      </w:divBdr>
      <w:divsChild>
        <w:div w:id="163782862">
          <w:marLeft w:val="480"/>
          <w:marRight w:val="0"/>
          <w:marTop w:val="0"/>
          <w:marBottom w:val="0"/>
          <w:divBdr>
            <w:top w:val="none" w:sz="0" w:space="0" w:color="auto"/>
            <w:left w:val="none" w:sz="0" w:space="0" w:color="auto"/>
            <w:bottom w:val="none" w:sz="0" w:space="0" w:color="auto"/>
            <w:right w:val="none" w:sz="0" w:space="0" w:color="auto"/>
          </w:divBdr>
          <w:divsChild>
            <w:div w:id="1924951195">
              <w:marLeft w:val="0"/>
              <w:marRight w:val="0"/>
              <w:marTop w:val="0"/>
              <w:marBottom w:val="0"/>
              <w:divBdr>
                <w:top w:val="none" w:sz="0" w:space="0" w:color="auto"/>
                <w:left w:val="none" w:sz="0" w:space="0" w:color="auto"/>
                <w:bottom w:val="none" w:sz="0" w:space="0" w:color="auto"/>
                <w:right w:val="none" w:sz="0" w:space="0" w:color="auto"/>
              </w:divBdr>
            </w:div>
            <w:div w:id="498279796">
              <w:marLeft w:val="0"/>
              <w:marRight w:val="0"/>
              <w:marTop w:val="0"/>
              <w:marBottom w:val="0"/>
              <w:divBdr>
                <w:top w:val="none" w:sz="0" w:space="0" w:color="auto"/>
                <w:left w:val="none" w:sz="0" w:space="0" w:color="auto"/>
                <w:bottom w:val="none" w:sz="0" w:space="0" w:color="auto"/>
                <w:right w:val="none" w:sz="0" w:space="0" w:color="auto"/>
              </w:divBdr>
            </w:div>
            <w:div w:id="1917854991">
              <w:marLeft w:val="0"/>
              <w:marRight w:val="0"/>
              <w:marTop w:val="0"/>
              <w:marBottom w:val="0"/>
              <w:divBdr>
                <w:top w:val="none" w:sz="0" w:space="0" w:color="auto"/>
                <w:left w:val="none" w:sz="0" w:space="0" w:color="auto"/>
                <w:bottom w:val="none" w:sz="0" w:space="0" w:color="auto"/>
                <w:right w:val="none" w:sz="0" w:space="0" w:color="auto"/>
              </w:divBdr>
            </w:div>
            <w:div w:id="1421482302">
              <w:marLeft w:val="0"/>
              <w:marRight w:val="0"/>
              <w:marTop w:val="0"/>
              <w:marBottom w:val="0"/>
              <w:divBdr>
                <w:top w:val="none" w:sz="0" w:space="0" w:color="auto"/>
                <w:left w:val="none" w:sz="0" w:space="0" w:color="auto"/>
                <w:bottom w:val="none" w:sz="0" w:space="0" w:color="auto"/>
                <w:right w:val="none" w:sz="0" w:space="0" w:color="auto"/>
              </w:divBdr>
            </w:div>
            <w:div w:id="1647277789">
              <w:marLeft w:val="0"/>
              <w:marRight w:val="0"/>
              <w:marTop w:val="0"/>
              <w:marBottom w:val="0"/>
              <w:divBdr>
                <w:top w:val="none" w:sz="0" w:space="0" w:color="auto"/>
                <w:left w:val="none" w:sz="0" w:space="0" w:color="auto"/>
                <w:bottom w:val="none" w:sz="0" w:space="0" w:color="auto"/>
                <w:right w:val="none" w:sz="0" w:space="0" w:color="auto"/>
              </w:divBdr>
            </w:div>
            <w:div w:id="883715492">
              <w:marLeft w:val="0"/>
              <w:marRight w:val="0"/>
              <w:marTop w:val="0"/>
              <w:marBottom w:val="0"/>
              <w:divBdr>
                <w:top w:val="none" w:sz="0" w:space="0" w:color="auto"/>
                <w:left w:val="none" w:sz="0" w:space="0" w:color="auto"/>
                <w:bottom w:val="none" w:sz="0" w:space="0" w:color="auto"/>
                <w:right w:val="none" w:sz="0" w:space="0" w:color="auto"/>
              </w:divBdr>
            </w:div>
            <w:div w:id="1738356846">
              <w:marLeft w:val="0"/>
              <w:marRight w:val="0"/>
              <w:marTop w:val="0"/>
              <w:marBottom w:val="0"/>
              <w:divBdr>
                <w:top w:val="none" w:sz="0" w:space="0" w:color="auto"/>
                <w:left w:val="none" w:sz="0" w:space="0" w:color="auto"/>
                <w:bottom w:val="none" w:sz="0" w:space="0" w:color="auto"/>
                <w:right w:val="none" w:sz="0" w:space="0" w:color="auto"/>
              </w:divBdr>
            </w:div>
            <w:div w:id="1597399787">
              <w:marLeft w:val="0"/>
              <w:marRight w:val="0"/>
              <w:marTop w:val="0"/>
              <w:marBottom w:val="0"/>
              <w:divBdr>
                <w:top w:val="none" w:sz="0" w:space="0" w:color="auto"/>
                <w:left w:val="none" w:sz="0" w:space="0" w:color="auto"/>
                <w:bottom w:val="none" w:sz="0" w:space="0" w:color="auto"/>
                <w:right w:val="none" w:sz="0" w:space="0" w:color="auto"/>
              </w:divBdr>
            </w:div>
            <w:div w:id="2046173236">
              <w:marLeft w:val="0"/>
              <w:marRight w:val="0"/>
              <w:marTop w:val="0"/>
              <w:marBottom w:val="0"/>
              <w:divBdr>
                <w:top w:val="none" w:sz="0" w:space="0" w:color="auto"/>
                <w:left w:val="none" w:sz="0" w:space="0" w:color="auto"/>
                <w:bottom w:val="none" w:sz="0" w:space="0" w:color="auto"/>
                <w:right w:val="none" w:sz="0" w:space="0" w:color="auto"/>
              </w:divBdr>
            </w:div>
            <w:div w:id="37433574">
              <w:marLeft w:val="0"/>
              <w:marRight w:val="0"/>
              <w:marTop w:val="0"/>
              <w:marBottom w:val="0"/>
              <w:divBdr>
                <w:top w:val="none" w:sz="0" w:space="0" w:color="auto"/>
                <w:left w:val="none" w:sz="0" w:space="0" w:color="auto"/>
                <w:bottom w:val="none" w:sz="0" w:space="0" w:color="auto"/>
                <w:right w:val="none" w:sz="0" w:space="0" w:color="auto"/>
              </w:divBdr>
            </w:div>
            <w:div w:id="1940092679">
              <w:marLeft w:val="0"/>
              <w:marRight w:val="0"/>
              <w:marTop w:val="0"/>
              <w:marBottom w:val="0"/>
              <w:divBdr>
                <w:top w:val="none" w:sz="0" w:space="0" w:color="auto"/>
                <w:left w:val="none" w:sz="0" w:space="0" w:color="auto"/>
                <w:bottom w:val="none" w:sz="0" w:space="0" w:color="auto"/>
                <w:right w:val="none" w:sz="0" w:space="0" w:color="auto"/>
              </w:divBdr>
            </w:div>
            <w:div w:id="1768572180">
              <w:marLeft w:val="0"/>
              <w:marRight w:val="0"/>
              <w:marTop w:val="0"/>
              <w:marBottom w:val="0"/>
              <w:divBdr>
                <w:top w:val="none" w:sz="0" w:space="0" w:color="auto"/>
                <w:left w:val="none" w:sz="0" w:space="0" w:color="auto"/>
                <w:bottom w:val="none" w:sz="0" w:space="0" w:color="auto"/>
                <w:right w:val="none" w:sz="0" w:space="0" w:color="auto"/>
              </w:divBdr>
            </w:div>
            <w:div w:id="1030642174">
              <w:marLeft w:val="0"/>
              <w:marRight w:val="0"/>
              <w:marTop w:val="0"/>
              <w:marBottom w:val="0"/>
              <w:divBdr>
                <w:top w:val="none" w:sz="0" w:space="0" w:color="auto"/>
                <w:left w:val="none" w:sz="0" w:space="0" w:color="auto"/>
                <w:bottom w:val="none" w:sz="0" w:space="0" w:color="auto"/>
                <w:right w:val="none" w:sz="0" w:space="0" w:color="auto"/>
              </w:divBdr>
            </w:div>
            <w:div w:id="88307750">
              <w:marLeft w:val="0"/>
              <w:marRight w:val="0"/>
              <w:marTop w:val="0"/>
              <w:marBottom w:val="0"/>
              <w:divBdr>
                <w:top w:val="none" w:sz="0" w:space="0" w:color="auto"/>
                <w:left w:val="none" w:sz="0" w:space="0" w:color="auto"/>
                <w:bottom w:val="none" w:sz="0" w:space="0" w:color="auto"/>
                <w:right w:val="none" w:sz="0" w:space="0" w:color="auto"/>
              </w:divBdr>
            </w:div>
            <w:div w:id="27684894">
              <w:marLeft w:val="0"/>
              <w:marRight w:val="0"/>
              <w:marTop w:val="0"/>
              <w:marBottom w:val="0"/>
              <w:divBdr>
                <w:top w:val="none" w:sz="0" w:space="0" w:color="auto"/>
                <w:left w:val="none" w:sz="0" w:space="0" w:color="auto"/>
                <w:bottom w:val="none" w:sz="0" w:space="0" w:color="auto"/>
                <w:right w:val="none" w:sz="0" w:space="0" w:color="auto"/>
              </w:divBdr>
            </w:div>
            <w:div w:id="1792704016">
              <w:marLeft w:val="0"/>
              <w:marRight w:val="0"/>
              <w:marTop w:val="0"/>
              <w:marBottom w:val="0"/>
              <w:divBdr>
                <w:top w:val="none" w:sz="0" w:space="0" w:color="auto"/>
                <w:left w:val="none" w:sz="0" w:space="0" w:color="auto"/>
                <w:bottom w:val="none" w:sz="0" w:space="0" w:color="auto"/>
                <w:right w:val="none" w:sz="0" w:space="0" w:color="auto"/>
              </w:divBdr>
            </w:div>
            <w:div w:id="1383942359">
              <w:marLeft w:val="0"/>
              <w:marRight w:val="0"/>
              <w:marTop w:val="0"/>
              <w:marBottom w:val="0"/>
              <w:divBdr>
                <w:top w:val="none" w:sz="0" w:space="0" w:color="auto"/>
                <w:left w:val="none" w:sz="0" w:space="0" w:color="auto"/>
                <w:bottom w:val="none" w:sz="0" w:space="0" w:color="auto"/>
                <w:right w:val="none" w:sz="0" w:space="0" w:color="auto"/>
              </w:divBdr>
            </w:div>
            <w:div w:id="1895237299">
              <w:marLeft w:val="0"/>
              <w:marRight w:val="0"/>
              <w:marTop w:val="0"/>
              <w:marBottom w:val="0"/>
              <w:divBdr>
                <w:top w:val="none" w:sz="0" w:space="0" w:color="auto"/>
                <w:left w:val="none" w:sz="0" w:space="0" w:color="auto"/>
                <w:bottom w:val="none" w:sz="0" w:space="0" w:color="auto"/>
                <w:right w:val="none" w:sz="0" w:space="0" w:color="auto"/>
              </w:divBdr>
            </w:div>
            <w:div w:id="370543559">
              <w:marLeft w:val="0"/>
              <w:marRight w:val="0"/>
              <w:marTop w:val="0"/>
              <w:marBottom w:val="0"/>
              <w:divBdr>
                <w:top w:val="none" w:sz="0" w:space="0" w:color="auto"/>
                <w:left w:val="none" w:sz="0" w:space="0" w:color="auto"/>
                <w:bottom w:val="none" w:sz="0" w:space="0" w:color="auto"/>
                <w:right w:val="none" w:sz="0" w:space="0" w:color="auto"/>
              </w:divBdr>
            </w:div>
            <w:div w:id="16870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17602">
      <w:bodyDiv w:val="1"/>
      <w:marLeft w:val="0"/>
      <w:marRight w:val="0"/>
      <w:marTop w:val="0"/>
      <w:marBottom w:val="0"/>
      <w:divBdr>
        <w:top w:val="none" w:sz="0" w:space="0" w:color="auto"/>
        <w:left w:val="none" w:sz="0" w:space="0" w:color="auto"/>
        <w:bottom w:val="none" w:sz="0" w:space="0" w:color="auto"/>
        <w:right w:val="none" w:sz="0" w:space="0" w:color="auto"/>
      </w:divBdr>
      <w:divsChild>
        <w:div w:id="1063724385">
          <w:marLeft w:val="480"/>
          <w:marRight w:val="0"/>
          <w:marTop w:val="0"/>
          <w:marBottom w:val="0"/>
          <w:divBdr>
            <w:top w:val="none" w:sz="0" w:space="0" w:color="auto"/>
            <w:left w:val="none" w:sz="0" w:space="0" w:color="auto"/>
            <w:bottom w:val="none" w:sz="0" w:space="0" w:color="auto"/>
            <w:right w:val="none" w:sz="0" w:space="0" w:color="auto"/>
          </w:divBdr>
          <w:divsChild>
            <w:div w:id="283776479">
              <w:marLeft w:val="0"/>
              <w:marRight w:val="0"/>
              <w:marTop w:val="0"/>
              <w:marBottom w:val="0"/>
              <w:divBdr>
                <w:top w:val="none" w:sz="0" w:space="0" w:color="auto"/>
                <w:left w:val="none" w:sz="0" w:space="0" w:color="auto"/>
                <w:bottom w:val="none" w:sz="0" w:space="0" w:color="auto"/>
                <w:right w:val="none" w:sz="0" w:space="0" w:color="auto"/>
              </w:divBdr>
            </w:div>
            <w:div w:id="317080487">
              <w:marLeft w:val="0"/>
              <w:marRight w:val="0"/>
              <w:marTop w:val="0"/>
              <w:marBottom w:val="0"/>
              <w:divBdr>
                <w:top w:val="none" w:sz="0" w:space="0" w:color="auto"/>
                <w:left w:val="none" w:sz="0" w:space="0" w:color="auto"/>
                <w:bottom w:val="none" w:sz="0" w:space="0" w:color="auto"/>
                <w:right w:val="none" w:sz="0" w:space="0" w:color="auto"/>
              </w:divBdr>
            </w:div>
            <w:div w:id="163516326">
              <w:marLeft w:val="0"/>
              <w:marRight w:val="0"/>
              <w:marTop w:val="0"/>
              <w:marBottom w:val="0"/>
              <w:divBdr>
                <w:top w:val="none" w:sz="0" w:space="0" w:color="auto"/>
                <w:left w:val="none" w:sz="0" w:space="0" w:color="auto"/>
                <w:bottom w:val="none" w:sz="0" w:space="0" w:color="auto"/>
                <w:right w:val="none" w:sz="0" w:space="0" w:color="auto"/>
              </w:divBdr>
            </w:div>
            <w:div w:id="18642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10359">
      <w:bodyDiv w:val="1"/>
      <w:marLeft w:val="0"/>
      <w:marRight w:val="0"/>
      <w:marTop w:val="0"/>
      <w:marBottom w:val="0"/>
      <w:divBdr>
        <w:top w:val="none" w:sz="0" w:space="0" w:color="auto"/>
        <w:left w:val="none" w:sz="0" w:space="0" w:color="auto"/>
        <w:bottom w:val="none" w:sz="0" w:space="0" w:color="auto"/>
        <w:right w:val="none" w:sz="0" w:space="0" w:color="auto"/>
      </w:divBdr>
    </w:div>
    <w:div w:id="845487027">
      <w:bodyDiv w:val="1"/>
      <w:marLeft w:val="0"/>
      <w:marRight w:val="0"/>
      <w:marTop w:val="0"/>
      <w:marBottom w:val="0"/>
      <w:divBdr>
        <w:top w:val="none" w:sz="0" w:space="0" w:color="auto"/>
        <w:left w:val="none" w:sz="0" w:space="0" w:color="auto"/>
        <w:bottom w:val="none" w:sz="0" w:space="0" w:color="auto"/>
        <w:right w:val="none" w:sz="0" w:space="0" w:color="auto"/>
      </w:divBdr>
    </w:div>
    <w:div w:id="1231424905">
      <w:bodyDiv w:val="1"/>
      <w:marLeft w:val="0"/>
      <w:marRight w:val="0"/>
      <w:marTop w:val="0"/>
      <w:marBottom w:val="0"/>
      <w:divBdr>
        <w:top w:val="none" w:sz="0" w:space="0" w:color="auto"/>
        <w:left w:val="none" w:sz="0" w:space="0" w:color="auto"/>
        <w:bottom w:val="none" w:sz="0" w:space="0" w:color="auto"/>
        <w:right w:val="none" w:sz="0" w:space="0" w:color="auto"/>
      </w:divBdr>
      <w:divsChild>
        <w:div w:id="2096396608">
          <w:marLeft w:val="480"/>
          <w:marRight w:val="0"/>
          <w:marTop w:val="0"/>
          <w:marBottom w:val="0"/>
          <w:divBdr>
            <w:top w:val="none" w:sz="0" w:space="0" w:color="auto"/>
            <w:left w:val="none" w:sz="0" w:space="0" w:color="auto"/>
            <w:bottom w:val="none" w:sz="0" w:space="0" w:color="auto"/>
            <w:right w:val="none" w:sz="0" w:space="0" w:color="auto"/>
          </w:divBdr>
          <w:divsChild>
            <w:div w:id="341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551">
      <w:bodyDiv w:val="1"/>
      <w:marLeft w:val="0"/>
      <w:marRight w:val="0"/>
      <w:marTop w:val="0"/>
      <w:marBottom w:val="0"/>
      <w:divBdr>
        <w:top w:val="none" w:sz="0" w:space="0" w:color="auto"/>
        <w:left w:val="none" w:sz="0" w:space="0" w:color="auto"/>
        <w:bottom w:val="none" w:sz="0" w:space="0" w:color="auto"/>
        <w:right w:val="none" w:sz="0" w:space="0" w:color="auto"/>
      </w:divBdr>
      <w:divsChild>
        <w:div w:id="1669552683">
          <w:marLeft w:val="480"/>
          <w:marRight w:val="0"/>
          <w:marTop w:val="0"/>
          <w:marBottom w:val="0"/>
          <w:divBdr>
            <w:top w:val="none" w:sz="0" w:space="0" w:color="auto"/>
            <w:left w:val="none" w:sz="0" w:space="0" w:color="auto"/>
            <w:bottom w:val="none" w:sz="0" w:space="0" w:color="auto"/>
            <w:right w:val="none" w:sz="0" w:space="0" w:color="auto"/>
          </w:divBdr>
          <w:divsChild>
            <w:div w:id="1852379862">
              <w:marLeft w:val="0"/>
              <w:marRight w:val="0"/>
              <w:marTop w:val="0"/>
              <w:marBottom w:val="0"/>
              <w:divBdr>
                <w:top w:val="none" w:sz="0" w:space="0" w:color="auto"/>
                <w:left w:val="none" w:sz="0" w:space="0" w:color="auto"/>
                <w:bottom w:val="none" w:sz="0" w:space="0" w:color="auto"/>
                <w:right w:val="none" w:sz="0" w:space="0" w:color="auto"/>
              </w:divBdr>
            </w:div>
            <w:div w:id="997920780">
              <w:marLeft w:val="0"/>
              <w:marRight w:val="0"/>
              <w:marTop w:val="0"/>
              <w:marBottom w:val="0"/>
              <w:divBdr>
                <w:top w:val="none" w:sz="0" w:space="0" w:color="auto"/>
                <w:left w:val="none" w:sz="0" w:space="0" w:color="auto"/>
                <w:bottom w:val="none" w:sz="0" w:space="0" w:color="auto"/>
                <w:right w:val="none" w:sz="0" w:space="0" w:color="auto"/>
              </w:divBdr>
            </w:div>
            <w:div w:id="1006594211">
              <w:marLeft w:val="0"/>
              <w:marRight w:val="0"/>
              <w:marTop w:val="0"/>
              <w:marBottom w:val="0"/>
              <w:divBdr>
                <w:top w:val="none" w:sz="0" w:space="0" w:color="auto"/>
                <w:left w:val="none" w:sz="0" w:space="0" w:color="auto"/>
                <w:bottom w:val="none" w:sz="0" w:space="0" w:color="auto"/>
                <w:right w:val="none" w:sz="0" w:space="0" w:color="auto"/>
              </w:divBdr>
            </w:div>
            <w:div w:id="1344668363">
              <w:marLeft w:val="0"/>
              <w:marRight w:val="0"/>
              <w:marTop w:val="0"/>
              <w:marBottom w:val="0"/>
              <w:divBdr>
                <w:top w:val="none" w:sz="0" w:space="0" w:color="auto"/>
                <w:left w:val="none" w:sz="0" w:space="0" w:color="auto"/>
                <w:bottom w:val="none" w:sz="0" w:space="0" w:color="auto"/>
                <w:right w:val="none" w:sz="0" w:space="0" w:color="auto"/>
              </w:divBdr>
            </w:div>
            <w:div w:id="1045831776">
              <w:marLeft w:val="0"/>
              <w:marRight w:val="0"/>
              <w:marTop w:val="0"/>
              <w:marBottom w:val="0"/>
              <w:divBdr>
                <w:top w:val="none" w:sz="0" w:space="0" w:color="auto"/>
                <w:left w:val="none" w:sz="0" w:space="0" w:color="auto"/>
                <w:bottom w:val="none" w:sz="0" w:space="0" w:color="auto"/>
                <w:right w:val="none" w:sz="0" w:space="0" w:color="auto"/>
              </w:divBdr>
            </w:div>
            <w:div w:id="326056995">
              <w:marLeft w:val="0"/>
              <w:marRight w:val="0"/>
              <w:marTop w:val="0"/>
              <w:marBottom w:val="0"/>
              <w:divBdr>
                <w:top w:val="none" w:sz="0" w:space="0" w:color="auto"/>
                <w:left w:val="none" w:sz="0" w:space="0" w:color="auto"/>
                <w:bottom w:val="none" w:sz="0" w:space="0" w:color="auto"/>
                <w:right w:val="none" w:sz="0" w:space="0" w:color="auto"/>
              </w:divBdr>
            </w:div>
            <w:div w:id="596406943">
              <w:marLeft w:val="0"/>
              <w:marRight w:val="0"/>
              <w:marTop w:val="0"/>
              <w:marBottom w:val="0"/>
              <w:divBdr>
                <w:top w:val="none" w:sz="0" w:space="0" w:color="auto"/>
                <w:left w:val="none" w:sz="0" w:space="0" w:color="auto"/>
                <w:bottom w:val="none" w:sz="0" w:space="0" w:color="auto"/>
                <w:right w:val="none" w:sz="0" w:space="0" w:color="auto"/>
              </w:divBdr>
            </w:div>
            <w:div w:id="1751582790">
              <w:marLeft w:val="0"/>
              <w:marRight w:val="0"/>
              <w:marTop w:val="0"/>
              <w:marBottom w:val="0"/>
              <w:divBdr>
                <w:top w:val="none" w:sz="0" w:space="0" w:color="auto"/>
                <w:left w:val="none" w:sz="0" w:space="0" w:color="auto"/>
                <w:bottom w:val="none" w:sz="0" w:space="0" w:color="auto"/>
                <w:right w:val="none" w:sz="0" w:space="0" w:color="auto"/>
              </w:divBdr>
            </w:div>
            <w:div w:id="1910845264">
              <w:marLeft w:val="0"/>
              <w:marRight w:val="0"/>
              <w:marTop w:val="0"/>
              <w:marBottom w:val="0"/>
              <w:divBdr>
                <w:top w:val="none" w:sz="0" w:space="0" w:color="auto"/>
                <w:left w:val="none" w:sz="0" w:space="0" w:color="auto"/>
                <w:bottom w:val="none" w:sz="0" w:space="0" w:color="auto"/>
                <w:right w:val="none" w:sz="0" w:space="0" w:color="auto"/>
              </w:divBdr>
            </w:div>
            <w:div w:id="512035410">
              <w:marLeft w:val="0"/>
              <w:marRight w:val="0"/>
              <w:marTop w:val="0"/>
              <w:marBottom w:val="0"/>
              <w:divBdr>
                <w:top w:val="none" w:sz="0" w:space="0" w:color="auto"/>
                <w:left w:val="none" w:sz="0" w:space="0" w:color="auto"/>
                <w:bottom w:val="none" w:sz="0" w:space="0" w:color="auto"/>
                <w:right w:val="none" w:sz="0" w:space="0" w:color="auto"/>
              </w:divBdr>
            </w:div>
            <w:div w:id="1785420692">
              <w:marLeft w:val="0"/>
              <w:marRight w:val="0"/>
              <w:marTop w:val="0"/>
              <w:marBottom w:val="0"/>
              <w:divBdr>
                <w:top w:val="none" w:sz="0" w:space="0" w:color="auto"/>
                <w:left w:val="none" w:sz="0" w:space="0" w:color="auto"/>
                <w:bottom w:val="none" w:sz="0" w:space="0" w:color="auto"/>
                <w:right w:val="none" w:sz="0" w:space="0" w:color="auto"/>
              </w:divBdr>
            </w:div>
            <w:div w:id="1821263428">
              <w:marLeft w:val="0"/>
              <w:marRight w:val="0"/>
              <w:marTop w:val="0"/>
              <w:marBottom w:val="0"/>
              <w:divBdr>
                <w:top w:val="none" w:sz="0" w:space="0" w:color="auto"/>
                <w:left w:val="none" w:sz="0" w:space="0" w:color="auto"/>
                <w:bottom w:val="none" w:sz="0" w:space="0" w:color="auto"/>
                <w:right w:val="none" w:sz="0" w:space="0" w:color="auto"/>
              </w:divBdr>
            </w:div>
            <w:div w:id="1143160720">
              <w:marLeft w:val="0"/>
              <w:marRight w:val="0"/>
              <w:marTop w:val="0"/>
              <w:marBottom w:val="0"/>
              <w:divBdr>
                <w:top w:val="none" w:sz="0" w:space="0" w:color="auto"/>
                <w:left w:val="none" w:sz="0" w:space="0" w:color="auto"/>
                <w:bottom w:val="none" w:sz="0" w:space="0" w:color="auto"/>
                <w:right w:val="none" w:sz="0" w:space="0" w:color="auto"/>
              </w:divBdr>
            </w:div>
            <w:div w:id="421950182">
              <w:marLeft w:val="0"/>
              <w:marRight w:val="0"/>
              <w:marTop w:val="0"/>
              <w:marBottom w:val="0"/>
              <w:divBdr>
                <w:top w:val="none" w:sz="0" w:space="0" w:color="auto"/>
                <w:left w:val="none" w:sz="0" w:space="0" w:color="auto"/>
                <w:bottom w:val="none" w:sz="0" w:space="0" w:color="auto"/>
                <w:right w:val="none" w:sz="0" w:space="0" w:color="auto"/>
              </w:divBdr>
            </w:div>
            <w:div w:id="2117602864">
              <w:marLeft w:val="0"/>
              <w:marRight w:val="0"/>
              <w:marTop w:val="0"/>
              <w:marBottom w:val="0"/>
              <w:divBdr>
                <w:top w:val="none" w:sz="0" w:space="0" w:color="auto"/>
                <w:left w:val="none" w:sz="0" w:space="0" w:color="auto"/>
                <w:bottom w:val="none" w:sz="0" w:space="0" w:color="auto"/>
                <w:right w:val="none" w:sz="0" w:space="0" w:color="auto"/>
              </w:divBdr>
            </w:div>
            <w:div w:id="1331907657">
              <w:marLeft w:val="0"/>
              <w:marRight w:val="0"/>
              <w:marTop w:val="0"/>
              <w:marBottom w:val="0"/>
              <w:divBdr>
                <w:top w:val="none" w:sz="0" w:space="0" w:color="auto"/>
                <w:left w:val="none" w:sz="0" w:space="0" w:color="auto"/>
                <w:bottom w:val="none" w:sz="0" w:space="0" w:color="auto"/>
                <w:right w:val="none" w:sz="0" w:space="0" w:color="auto"/>
              </w:divBdr>
            </w:div>
            <w:div w:id="611210484">
              <w:marLeft w:val="0"/>
              <w:marRight w:val="0"/>
              <w:marTop w:val="0"/>
              <w:marBottom w:val="0"/>
              <w:divBdr>
                <w:top w:val="none" w:sz="0" w:space="0" w:color="auto"/>
                <w:left w:val="none" w:sz="0" w:space="0" w:color="auto"/>
                <w:bottom w:val="none" w:sz="0" w:space="0" w:color="auto"/>
                <w:right w:val="none" w:sz="0" w:space="0" w:color="auto"/>
              </w:divBdr>
            </w:div>
            <w:div w:id="913467456">
              <w:marLeft w:val="0"/>
              <w:marRight w:val="0"/>
              <w:marTop w:val="0"/>
              <w:marBottom w:val="0"/>
              <w:divBdr>
                <w:top w:val="none" w:sz="0" w:space="0" w:color="auto"/>
                <w:left w:val="none" w:sz="0" w:space="0" w:color="auto"/>
                <w:bottom w:val="none" w:sz="0" w:space="0" w:color="auto"/>
                <w:right w:val="none" w:sz="0" w:space="0" w:color="auto"/>
              </w:divBdr>
            </w:div>
            <w:div w:id="359278365">
              <w:marLeft w:val="0"/>
              <w:marRight w:val="0"/>
              <w:marTop w:val="0"/>
              <w:marBottom w:val="0"/>
              <w:divBdr>
                <w:top w:val="none" w:sz="0" w:space="0" w:color="auto"/>
                <w:left w:val="none" w:sz="0" w:space="0" w:color="auto"/>
                <w:bottom w:val="none" w:sz="0" w:space="0" w:color="auto"/>
                <w:right w:val="none" w:sz="0" w:space="0" w:color="auto"/>
              </w:divBdr>
            </w:div>
            <w:div w:id="91321739">
              <w:marLeft w:val="0"/>
              <w:marRight w:val="0"/>
              <w:marTop w:val="0"/>
              <w:marBottom w:val="0"/>
              <w:divBdr>
                <w:top w:val="none" w:sz="0" w:space="0" w:color="auto"/>
                <w:left w:val="none" w:sz="0" w:space="0" w:color="auto"/>
                <w:bottom w:val="none" w:sz="0" w:space="0" w:color="auto"/>
                <w:right w:val="none" w:sz="0" w:space="0" w:color="auto"/>
              </w:divBdr>
            </w:div>
            <w:div w:id="162285300">
              <w:marLeft w:val="0"/>
              <w:marRight w:val="0"/>
              <w:marTop w:val="0"/>
              <w:marBottom w:val="0"/>
              <w:divBdr>
                <w:top w:val="none" w:sz="0" w:space="0" w:color="auto"/>
                <w:left w:val="none" w:sz="0" w:space="0" w:color="auto"/>
                <w:bottom w:val="none" w:sz="0" w:space="0" w:color="auto"/>
                <w:right w:val="none" w:sz="0" w:space="0" w:color="auto"/>
              </w:divBdr>
            </w:div>
            <w:div w:id="625887257">
              <w:marLeft w:val="0"/>
              <w:marRight w:val="0"/>
              <w:marTop w:val="0"/>
              <w:marBottom w:val="0"/>
              <w:divBdr>
                <w:top w:val="none" w:sz="0" w:space="0" w:color="auto"/>
                <w:left w:val="none" w:sz="0" w:space="0" w:color="auto"/>
                <w:bottom w:val="none" w:sz="0" w:space="0" w:color="auto"/>
                <w:right w:val="none" w:sz="0" w:space="0" w:color="auto"/>
              </w:divBdr>
            </w:div>
            <w:div w:id="1910924545">
              <w:marLeft w:val="0"/>
              <w:marRight w:val="0"/>
              <w:marTop w:val="0"/>
              <w:marBottom w:val="0"/>
              <w:divBdr>
                <w:top w:val="none" w:sz="0" w:space="0" w:color="auto"/>
                <w:left w:val="none" w:sz="0" w:space="0" w:color="auto"/>
                <w:bottom w:val="none" w:sz="0" w:space="0" w:color="auto"/>
                <w:right w:val="none" w:sz="0" w:space="0" w:color="auto"/>
              </w:divBdr>
            </w:div>
            <w:div w:id="2146046246">
              <w:marLeft w:val="0"/>
              <w:marRight w:val="0"/>
              <w:marTop w:val="0"/>
              <w:marBottom w:val="0"/>
              <w:divBdr>
                <w:top w:val="none" w:sz="0" w:space="0" w:color="auto"/>
                <w:left w:val="none" w:sz="0" w:space="0" w:color="auto"/>
                <w:bottom w:val="none" w:sz="0" w:space="0" w:color="auto"/>
                <w:right w:val="none" w:sz="0" w:space="0" w:color="auto"/>
              </w:divBdr>
            </w:div>
            <w:div w:id="1947542352">
              <w:marLeft w:val="0"/>
              <w:marRight w:val="0"/>
              <w:marTop w:val="0"/>
              <w:marBottom w:val="0"/>
              <w:divBdr>
                <w:top w:val="none" w:sz="0" w:space="0" w:color="auto"/>
                <w:left w:val="none" w:sz="0" w:space="0" w:color="auto"/>
                <w:bottom w:val="none" w:sz="0" w:space="0" w:color="auto"/>
                <w:right w:val="none" w:sz="0" w:space="0" w:color="auto"/>
              </w:divBdr>
            </w:div>
            <w:div w:id="1208877176">
              <w:marLeft w:val="0"/>
              <w:marRight w:val="0"/>
              <w:marTop w:val="0"/>
              <w:marBottom w:val="0"/>
              <w:divBdr>
                <w:top w:val="none" w:sz="0" w:space="0" w:color="auto"/>
                <w:left w:val="none" w:sz="0" w:space="0" w:color="auto"/>
                <w:bottom w:val="none" w:sz="0" w:space="0" w:color="auto"/>
                <w:right w:val="none" w:sz="0" w:space="0" w:color="auto"/>
              </w:divBdr>
            </w:div>
            <w:div w:id="2110196495">
              <w:marLeft w:val="0"/>
              <w:marRight w:val="0"/>
              <w:marTop w:val="0"/>
              <w:marBottom w:val="0"/>
              <w:divBdr>
                <w:top w:val="none" w:sz="0" w:space="0" w:color="auto"/>
                <w:left w:val="none" w:sz="0" w:space="0" w:color="auto"/>
                <w:bottom w:val="none" w:sz="0" w:space="0" w:color="auto"/>
                <w:right w:val="none" w:sz="0" w:space="0" w:color="auto"/>
              </w:divBdr>
            </w:div>
            <w:div w:id="97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8935">
      <w:bodyDiv w:val="1"/>
      <w:marLeft w:val="0"/>
      <w:marRight w:val="0"/>
      <w:marTop w:val="0"/>
      <w:marBottom w:val="0"/>
      <w:divBdr>
        <w:top w:val="none" w:sz="0" w:space="0" w:color="auto"/>
        <w:left w:val="none" w:sz="0" w:space="0" w:color="auto"/>
        <w:bottom w:val="none" w:sz="0" w:space="0" w:color="auto"/>
        <w:right w:val="none" w:sz="0" w:space="0" w:color="auto"/>
      </w:divBdr>
      <w:divsChild>
        <w:div w:id="2125037002">
          <w:marLeft w:val="480"/>
          <w:marRight w:val="0"/>
          <w:marTop w:val="0"/>
          <w:marBottom w:val="0"/>
          <w:divBdr>
            <w:top w:val="none" w:sz="0" w:space="0" w:color="auto"/>
            <w:left w:val="none" w:sz="0" w:space="0" w:color="auto"/>
            <w:bottom w:val="none" w:sz="0" w:space="0" w:color="auto"/>
            <w:right w:val="none" w:sz="0" w:space="0" w:color="auto"/>
          </w:divBdr>
          <w:divsChild>
            <w:div w:id="1131051520">
              <w:marLeft w:val="0"/>
              <w:marRight w:val="0"/>
              <w:marTop w:val="0"/>
              <w:marBottom w:val="0"/>
              <w:divBdr>
                <w:top w:val="none" w:sz="0" w:space="0" w:color="auto"/>
                <w:left w:val="none" w:sz="0" w:space="0" w:color="auto"/>
                <w:bottom w:val="none" w:sz="0" w:space="0" w:color="auto"/>
                <w:right w:val="none" w:sz="0" w:space="0" w:color="auto"/>
              </w:divBdr>
            </w:div>
            <w:div w:id="47001064">
              <w:marLeft w:val="0"/>
              <w:marRight w:val="0"/>
              <w:marTop w:val="0"/>
              <w:marBottom w:val="0"/>
              <w:divBdr>
                <w:top w:val="none" w:sz="0" w:space="0" w:color="auto"/>
                <w:left w:val="none" w:sz="0" w:space="0" w:color="auto"/>
                <w:bottom w:val="none" w:sz="0" w:space="0" w:color="auto"/>
                <w:right w:val="none" w:sz="0" w:space="0" w:color="auto"/>
              </w:divBdr>
            </w:div>
            <w:div w:id="825589008">
              <w:marLeft w:val="0"/>
              <w:marRight w:val="0"/>
              <w:marTop w:val="0"/>
              <w:marBottom w:val="0"/>
              <w:divBdr>
                <w:top w:val="none" w:sz="0" w:space="0" w:color="auto"/>
                <w:left w:val="none" w:sz="0" w:space="0" w:color="auto"/>
                <w:bottom w:val="none" w:sz="0" w:space="0" w:color="auto"/>
                <w:right w:val="none" w:sz="0" w:space="0" w:color="auto"/>
              </w:divBdr>
            </w:div>
            <w:div w:id="2055612215">
              <w:marLeft w:val="0"/>
              <w:marRight w:val="0"/>
              <w:marTop w:val="0"/>
              <w:marBottom w:val="0"/>
              <w:divBdr>
                <w:top w:val="none" w:sz="0" w:space="0" w:color="auto"/>
                <w:left w:val="none" w:sz="0" w:space="0" w:color="auto"/>
                <w:bottom w:val="none" w:sz="0" w:space="0" w:color="auto"/>
                <w:right w:val="none" w:sz="0" w:space="0" w:color="auto"/>
              </w:divBdr>
            </w:div>
            <w:div w:id="1929803598">
              <w:marLeft w:val="0"/>
              <w:marRight w:val="0"/>
              <w:marTop w:val="0"/>
              <w:marBottom w:val="0"/>
              <w:divBdr>
                <w:top w:val="none" w:sz="0" w:space="0" w:color="auto"/>
                <w:left w:val="none" w:sz="0" w:space="0" w:color="auto"/>
                <w:bottom w:val="none" w:sz="0" w:space="0" w:color="auto"/>
                <w:right w:val="none" w:sz="0" w:space="0" w:color="auto"/>
              </w:divBdr>
            </w:div>
            <w:div w:id="415128850">
              <w:marLeft w:val="0"/>
              <w:marRight w:val="0"/>
              <w:marTop w:val="0"/>
              <w:marBottom w:val="0"/>
              <w:divBdr>
                <w:top w:val="none" w:sz="0" w:space="0" w:color="auto"/>
                <w:left w:val="none" w:sz="0" w:space="0" w:color="auto"/>
                <w:bottom w:val="none" w:sz="0" w:space="0" w:color="auto"/>
                <w:right w:val="none" w:sz="0" w:space="0" w:color="auto"/>
              </w:divBdr>
            </w:div>
            <w:div w:id="312375364">
              <w:marLeft w:val="0"/>
              <w:marRight w:val="0"/>
              <w:marTop w:val="0"/>
              <w:marBottom w:val="0"/>
              <w:divBdr>
                <w:top w:val="none" w:sz="0" w:space="0" w:color="auto"/>
                <w:left w:val="none" w:sz="0" w:space="0" w:color="auto"/>
                <w:bottom w:val="none" w:sz="0" w:space="0" w:color="auto"/>
                <w:right w:val="none" w:sz="0" w:space="0" w:color="auto"/>
              </w:divBdr>
            </w:div>
            <w:div w:id="88354745">
              <w:marLeft w:val="0"/>
              <w:marRight w:val="0"/>
              <w:marTop w:val="0"/>
              <w:marBottom w:val="0"/>
              <w:divBdr>
                <w:top w:val="none" w:sz="0" w:space="0" w:color="auto"/>
                <w:left w:val="none" w:sz="0" w:space="0" w:color="auto"/>
                <w:bottom w:val="none" w:sz="0" w:space="0" w:color="auto"/>
                <w:right w:val="none" w:sz="0" w:space="0" w:color="auto"/>
              </w:divBdr>
            </w:div>
            <w:div w:id="1616905184">
              <w:marLeft w:val="0"/>
              <w:marRight w:val="0"/>
              <w:marTop w:val="0"/>
              <w:marBottom w:val="0"/>
              <w:divBdr>
                <w:top w:val="none" w:sz="0" w:space="0" w:color="auto"/>
                <w:left w:val="none" w:sz="0" w:space="0" w:color="auto"/>
                <w:bottom w:val="none" w:sz="0" w:space="0" w:color="auto"/>
                <w:right w:val="none" w:sz="0" w:space="0" w:color="auto"/>
              </w:divBdr>
            </w:div>
            <w:div w:id="638388096">
              <w:marLeft w:val="0"/>
              <w:marRight w:val="0"/>
              <w:marTop w:val="0"/>
              <w:marBottom w:val="0"/>
              <w:divBdr>
                <w:top w:val="none" w:sz="0" w:space="0" w:color="auto"/>
                <w:left w:val="none" w:sz="0" w:space="0" w:color="auto"/>
                <w:bottom w:val="none" w:sz="0" w:space="0" w:color="auto"/>
                <w:right w:val="none" w:sz="0" w:space="0" w:color="auto"/>
              </w:divBdr>
            </w:div>
            <w:div w:id="1421945425">
              <w:marLeft w:val="0"/>
              <w:marRight w:val="0"/>
              <w:marTop w:val="0"/>
              <w:marBottom w:val="0"/>
              <w:divBdr>
                <w:top w:val="none" w:sz="0" w:space="0" w:color="auto"/>
                <w:left w:val="none" w:sz="0" w:space="0" w:color="auto"/>
                <w:bottom w:val="none" w:sz="0" w:space="0" w:color="auto"/>
                <w:right w:val="none" w:sz="0" w:space="0" w:color="auto"/>
              </w:divBdr>
            </w:div>
            <w:div w:id="62411880">
              <w:marLeft w:val="0"/>
              <w:marRight w:val="0"/>
              <w:marTop w:val="0"/>
              <w:marBottom w:val="0"/>
              <w:divBdr>
                <w:top w:val="none" w:sz="0" w:space="0" w:color="auto"/>
                <w:left w:val="none" w:sz="0" w:space="0" w:color="auto"/>
                <w:bottom w:val="none" w:sz="0" w:space="0" w:color="auto"/>
                <w:right w:val="none" w:sz="0" w:space="0" w:color="auto"/>
              </w:divBdr>
            </w:div>
            <w:div w:id="702245802">
              <w:marLeft w:val="0"/>
              <w:marRight w:val="0"/>
              <w:marTop w:val="0"/>
              <w:marBottom w:val="0"/>
              <w:divBdr>
                <w:top w:val="none" w:sz="0" w:space="0" w:color="auto"/>
                <w:left w:val="none" w:sz="0" w:space="0" w:color="auto"/>
                <w:bottom w:val="none" w:sz="0" w:space="0" w:color="auto"/>
                <w:right w:val="none" w:sz="0" w:space="0" w:color="auto"/>
              </w:divBdr>
            </w:div>
            <w:div w:id="189608967">
              <w:marLeft w:val="0"/>
              <w:marRight w:val="0"/>
              <w:marTop w:val="0"/>
              <w:marBottom w:val="0"/>
              <w:divBdr>
                <w:top w:val="none" w:sz="0" w:space="0" w:color="auto"/>
                <w:left w:val="none" w:sz="0" w:space="0" w:color="auto"/>
                <w:bottom w:val="none" w:sz="0" w:space="0" w:color="auto"/>
                <w:right w:val="none" w:sz="0" w:space="0" w:color="auto"/>
              </w:divBdr>
            </w:div>
            <w:div w:id="2105109706">
              <w:marLeft w:val="0"/>
              <w:marRight w:val="0"/>
              <w:marTop w:val="0"/>
              <w:marBottom w:val="0"/>
              <w:divBdr>
                <w:top w:val="none" w:sz="0" w:space="0" w:color="auto"/>
                <w:left w:val="none" w:sz="0" w:space="0" w:color="auto"/>
                <w:bottom w:val="none" w:sz="0" w:space="0" w:color="auto"/>
                <w:right w:val="none" w:sz="0" w:space="0" w:color="auto"/>
              </w:divBdr>
            </w:div>
            <w:div w:id="815797574">
              <w:marLeft w:val="0"/>
              <w:marRight w:val="0"/>
              <w:marTop w:val="0"/>
              <w:marBottom w:val="0"/>
              <w:divBdr>
                <w:top w:val="none" w:sz="0" w:space="0" w:color="auto"/>
                <w:left w:val="none" w:sz="0" w:space="0" w:color="auto"/>
                <w:bottom w:val="none" w:sz="0" w:space="0" w:color="auto"/>
                <w:right w:val="none" w:sz="0" w:space="0" w:color="auto"/>
              </w:divBdr>
            </w:div>
            <w:div w:id="622730317">
              <w:marLeft w:val="0"/>
              <w:marRight w:val="0"/>
              <w:marTop w:val="0"/>
              <w:marBottom w:val="0"/>
              <w:divBdr>
                <w:top w:val="none" w:sz="0" w:space="0" w:color="auto"/>
                <w:left w:val="none" w:sz="0" w:space="0" w:color="auto"/>
                <w:bottom w:val="none" w:sz="0" w:space="0" w:color="auto"/>
                <w:right w:val="none" w:sz="0" w:space="0" w:color="auto"/>
              </w:divBdr>
            </w:div>
            <w:div w:id="1243956222">
              <w:marLeft w:val="0"/>
              <w:marRight w:val="0"/>
              <w:marTop w:val="0"/>
              <w:marBottom w:val="0"/>
              <w:divBdr>
                <w:top w:val="none" w:sz="0" w:space="0" w:color="auto"/>
                <w:left w:val="none" w:sz="0" w:space="0" w:color="auto"/>
                <w:bottom w:val="none" w:sz="0" w:space="0" w:color="auto"/>
                <w:right w:val="none" w:sz="0" w:space="0" w:color="auto"/>
              </w:divBdr>
            </w:div>
            <w:div w:id="1889564411">
              <w:marLeft w:val="0"/>
              <w:marRight w:val="0"/>
              <w:marTop w:val="0"/>
              <w:marBottom w:val="0"/>
              <w:divBdr>
                <w:top w:val="none" w:sz="0" w:space="0" w:color="auto"/>
                <w:left w:val="none" w:sz="0" w:space="0" w:color="auto"/>
                <w:bottom w:val="none" w:sz="0" w:space="0" w:color="auto"/>
                <w:right w:val="none" w:sz="0" w:space="0" w:color="auto"/>
              </w:divBdr>
            </w:div>
            <w:div w:id="8439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greenlabjhmi/2018_Bacterial_Pipeline_riboseq"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B727D-6E9F-144D-A4E0-006CA2E0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15</Pages>
  <Words>19677</Words>
  <Characters>112165</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53</cp:revision>
  <dcterms:created xsi:type="dcterms:W3CDTF">2024-01-04T16:43:00Z</dcterms:created>
  <dcterms:modified xsi:type="dcterms:W3CDTF">2024-01-05T12:41:00Z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id="FtSKxJnW"/&gt;&lt;style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