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59BF" w:rsidRDefault="003C59BF" w:rsidP="003C59BF">
      <w:pPr>
        <w:pStyle w:val="Heading1"/>
      </w:pPr>
      <w:proofErr w:type="spellStart"/>
      <w:r>
        <w:t>QIAquick</w:t>
      </w:r>
      <w:proofErr w:type="spellEnd"/>
      <w:r>
        <w:t xml:space="preserve"> Gel Extraction Kit</w:t>
      </w:r>
    </w:p>
    <w:p w:rsidR="003C59BF" w:rsidRDefault="003C59BF" w:rsidP="003C59BF">
      <w:pPr>
        <w:numPr>
          <w:ilvl w:val="0"/>
          <w:numId w:val="1"/>
        </w:numPr>
        <w:spacing w:before="100" w:beforeAutospacing="1" w:after="100" w:afterAutospacing="1"/>
      </w:pPr>
      <w:r>
        <w:t>All centrifugation steps are carried out at 17,900 x g (13,000 rpm) in a conventional table-top microcentrifuge.</w:t>
      </w:r>
    </w:p>
    <w:p w:rsidR="003C59BF" w:rsidRDefault="003C59BF" w:rsidP="003C59BF">
      <w:pPr>
        <w:numPr>
          <w:ilvl w:val="0"/>
          <w:numId w:val="1"/>
        </w:numPr>
        <w:spacing w:before="100" w:beforeAutospacing="1" w:after="100" w:afterAutospacing="1"/>
      </w:pPr>
      <w:r>
        <w:t>Excise the DNA fragment from the agarose gel with a clean, sharp scalpel.</w:t>
      </w:r>
    </w:p>
    <w:p w:rsidR="003C59BF" w:rsidRDefault="003C59BF" w:rsidP="003C59BF">
      <w:pPr>
        <w:numPr>
          <w:ilvl w:val="0"/>
          <w:numId w:val="1"/>
        </w:numPr>
        <w:spacing w:before="100" w:beforeAutospacing="1" w:after="100" w:afterAutospacing="1"/>
      </w:pPr>
      <w:r>
        <w:t xml:space="preserve">Weigh the gel slice in a colorless tube. Add 3 volumes Buffer QG to 1 volume gel (100 mg gel ~100 </w:t>
      </w:r>
      <w:proofErr w:type="spellStart"/>
      <w:r>
        <w:t>μl</w:t>
      </w:r>
      <w:proofErr w:type="spellEnd"/>
      <w:r>
        <w:t>). The maximum amount of gel per spin column is 400 mg. For &gt;2% agarose gels, add 6 volumes Buffer QG.</w:t>
      </w:r>
    </w:p>
    <w:tbl>
      <w:tblPr>
        <w:tblStyle w:val="TableGridLight"/>
        <w:tblW w:w="0" w:type="auto"/>
        <w:tblInd w:w="0" w:type="dxa"/>
        <w:tblLook w:val="04A0" w:firstRow="1" w:lastRow="0" w:firstColumn="1" w:lastColumn="0" w:noHBand="0" w:noVBand="1"/>
      </w:tblPr>
      <w:tblGrid>
        <w:gridCol w:w="2970"/>
        <w:gridCol w:w="1923"/>
        <w:gridCol w:w="1950"/>
        <w:gridCol w:w="2256"/>
      </w:tblGrid>
      <w:tr w:rsidR="003C59BF" w:rsidTr="003C59BF"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3C59BF" w:rsidRDefault="003C59BF"/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3C59BF" w:rsidRDefault="003C59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Gel Weight (mg)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3C59BF" w:rsidRDefault="003C59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Gel Volume (</w:t>
            </w:r>
            <w:proofErr w:type="spellStart"/>
            <w:r>
              <w:rPr>
                <w:b/>
                <w:bCs/>
              </w:rPr>
              <w:t>uL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3C59BF" w:rsidRDefault="003C59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Buffer Volume (</w:t>
            </w:r>
            <w:proofErr w:type="spellStart"/>
            <w:r>
              <w:rPr>
                <w:b/>
                <w:bCs/>
              </w:rPr>
              <w:t>uL</w:t>
            </w:r>
            <w:proofErr w:type="spellEnd"/>
            <w:r>
              <w:rPr>
                <w:b/>
                <w:bCs/>
              </w:rPr>
              <w:t>)</w:t>
            </w:r>
          </w:p>
        </w:tc>
      </w:tr>
      <w:tr w:rsidR="003C59BF" w:rsidTr="003C59BF"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3C59BF" w:rsidRDefault="003C59BF">
            <w:r>
              <w:t>PCR product FTL0215 UTR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3C59BF" w:rsidRDefault="003C59BF"/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3C59BF" w:rsidRDefault="003C59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3C59BF" w:rsidRDefault="003C59BF">
            <w:pPr>
              <w:rPr>
                <w:sz w:val="20"/>
                <w:szCs w:val="20"/>
              </w:rPr>
            </w:pPr>
          </w:p>
        </w:tc>
      </w:tr>
      <w:tr w:rsidR="003C59BF" w:rsidTr="003C59BF"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3C59BF" w:rsidRDefault="003C59BF">
            <w:r>
              <w:t>pKR145 Backbone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3C59BF" w:rsidRDefault="003C59BF"/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3C59BF" w:rsidRDefault="003C59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3C59BF" w:rsidRDefault="003C59BF">
            <w:pPr>
              <w:rPr>
                <w:sz w:val="20"/>
                <w:szCs w:val="20"/>
              </w:rPr>
            </w:pPr>
          </w:p>
        </w:tc>
      </w:tr>
    </w:tbl>
    <w:p w:rsidR="003C59BF" w:rsidRDefault="003C59BF" w:rsidP="003C59BF">
      <w:pPr>
        <w:numPr>
          <w:ilvl w:val="0"/>
          <w:numId w:val="2"/>
        </w:numPr>
        <w:spacing w:before="100" w:beforeAutospacing="1" w:after="100" w:afterAutospacing="1"/>
      </w:pPr>
      <w:r>
        <w:rPr>
          <w:strike/>
        </w:rPr>
        <w:t>Incubate at 50°C for 10 min (or until the gel slice has completely dissolved).</w:t>
      </w:r>
      <w:r>
        <w:t xml:space="preserve"> Vortex the tube every 2–3 min to help dissolve gel. After the gel slice has dissolved completely, check that the color of the mixture is yellow (</w:t>
      </w:r>
      <w:proofErr w:type="gramStart"/>
      <w:r>
        <w:t>similar to</w:t>
      </w:r>
      <w:proofErr w:type="gramEnd"/>
      <w:r>
        <w:t xml:space="preserve"> Buffer QG without dissolved agarose). If the color of the mixture is orange or violet, add 10 </w:t>
      </w:r>
      <w:proofErr w:type="spellStart"/>
      <w:r>
        <w:t>μl</w:t>
      </w:r>
      <w:proofErr w:type="spellEnd"/>
      <w:r>
        <w:t xml:space="preserve"> 3 M sodium acetate, pH 5.0, and mix. The mixture turns yellow.</w:t>
      </w:r>
    </w:p>
    <w:p w:rsidR="003C59BF" w:rsidRDefault="003C59BF" w:rsidP="003C59BF">
      <w:pPr>
        <w:numPr>
          <w:ilvl w:val="0"/>
          <w:numId w:val="2"/>
        </w:numPr>
        <w:spacing w:before="100" w:beforeAutospacing="1" w:after="100" w:afterAutospacing="1"/>
      </w:pPr>
      <w:r>
        <w:t>Add 1 gel volume isopropanol to the sample and mix.</w:t>
      </w:r>
    </w:p>
    <w:p w:rsidR="003C59BF" w:rsidRDefault="003C59BF" w:rsidP="003C59BF">
      <w:pPr>
        <w:numPr>
          <w:ilvl w:val="0"/>
          <w:numId w:val="2"/>
        </w:numPr>
        <w:spacing w:before="100" w:beforeAutospacing="1" w:after="100" w:afterAutospacing="1"/>
      </w:pPr>
      <w:r>
        <w:t xml:space="preserve">Place a </w:t>
      </w:r>
      <w:proofErr w:type="spellStart"/>
      <w:r>
        <w:t>QIAquick</w:t>
      </w:r>
      <w:proofErr w:type="spellEnd"/>
      <w:r>
        <w:t xml:space="preserve"> spin column </w:t>
      </w:r>
      <w:r>
        <w:rPr>
          <w:strike/>
        </w:rPr>
        <w:t>in a provided 2 ml collection tube or</w:t>
      </w:r>
      <w:r>
        <w:t xml:space="preserve"> into a vacuum manifold. To bind DNA, </w:t>
      </w:r>
      <w:r>
        <w:rPr>
          <w:strike/>
        </w:rPr>
        <w:t xml:space="preserve">apply the sample to the </w:t>
      </w:r>
      <w:proofErr w:type="spellStart"/>
      <w:r>
        <w:rPr>
          <w:strike/>
        </w:rPr>
        <w:t>QIAquick</w:t>
      </w:r>
      <w:proofErr w:type="spellEnd"/>
      <w:r>
        <w:rPr>
          <w:strike/>
        </w:rPr>
        <w:t xml:space="preserve"> column and centrifuge for 1 min or</w:t>
      </w:r>
      <w:r>
        <w:t xml:space="preserve"> apply vacuum to the manifold until all the samples have passed through the column. Columns have a max of agarose they can handle, so you might have to split in two. Discard flow-through and place the </w:t>
      </w:r>
      <w:proofErr w:type="spellStart"/>
      <w:r>
        <w:t>QIAquick</w:t>
      </w:r>
      <w:proofErr w:type="spellEnd"/>
      <w:r>
        <w:t xml:space="preserve"> column back into the same tube. For sample volumes &gt;800 </w:t>
      </w:r>
      <w:proofErr w:type="spellStart"/>
      <w:r>
        <w:t>μl</w:t>
      </w:r>
      <w:proofErr w:type="spellEnd"/>
      <w:r>
        <w:t>, load and spin/apply vacuum again.</w:t>
      </w:r>
    </w:p>
    <w:p w:rsidR="003C59BF" w:rsidRDefault="003C59BF" w:rsidP="003C59BF">
      <w:pPr>
        <w:numPr>
          <w:ilvl w:val="0"/>
          <w:numId w:val="2"/>
        </w:numPr>
        <w:spacing w:before="100" w:beforeAutospacing="1" w:after="100" w:afterAutospacing="1"/>
      </w:pPr>
      <w:r>
        <w:rPr>
          <w:strike/>
        </w:rPr>
        <w:t>If DNA will subsequently be used for sequencing, in vitro transcription, or microinjection,</w:t>
      </w:r>
      <w:r>
        <w:t xml:space="preserve"> add 500 </w:t>
      </w:r>
      <w:proofErr w:type="spellStart"/>
      <w:r>
        <w:t>μl</w:t>
      </w:r>
      <w:proofErr w:type="spellEnd"/>
      <w:r>
        <w:t xml:space="preserve"> Buffer QG to the </w:t>
      </w:r>
      <w:proofErr w:type="spellStart"/>
      <w:r>
        <w:t>QIAquick</w:t>
      </w:r>
      <w:proofErr w:type="spellEnd"/>
      <w:r>
        <w:t xml:space="preserve"> column and </w:t>
      </w:r>
      <w:r>
        <w:rPr>
          <w:strike/>
        </w:rPr>
        <w:t>centrifuge for 1 min or</w:t>
      </w:r>
      <w:r>
        <w:t xml:space="preserve"> apply vacuum. Discard flow-through and place the </w:t>
      </w:r>
      <w:proofErr w:type="spellStart"/>
      <w:r>
        <w:t>QIAquick</w:t>
      </w:r>
      <w:proofErr w:type="spellEnd"/>
      <w:r>
        <w:t xml:space="preserve"> column back into the same tube. (Repeated this step one more time to get rid of residual agarose.)</w:t>
      </w:r>
    </w:p>
    <w:p w:rsidR="003C59BF" w:rsidRDefault="003C59BF" w:rsidP="003C59BF">
      <w:pPr>
        <w:numPr>
          <w:ilvl w:val="0"/>
          <w:numId w:val="2"/>
        </w:numPr>
        <w:spacing w:before="100" w:beforeAutospacing="1" w:after="100" w:afterAutospacing="1"/>
      </w:pPr>
      <w:r>
        <w:t xml:space="preserve">To wash, add 750 </w:t>
      </w:r>
      <w:proofErr w:type="spellStart"/>
      <w:r>
        <w:t>μl</w:t>
      </w:r>
      <w:proofErr w:type="spellEnd"/>
      <w:r>
        <w:t xml:space="preserve"> Buffer PE to </w:t>
      </w:r>
      <w:proofErr w:type="spellStart"/>
      <w:r>
        <w:t>QIAquick</w:t>
      </w:r>
      <w:proofErr w:type="spellEnd"/>
      <w:r>
        <w:t xml:space="preserve"> column and </w:t>
      </w:r>
      <w:r>
        <w:rPr>
          <w:strike/>
        </w:rPr>
        <w:t>centrifuge for 1 min or</w:t>
      </w:r>
      <w:r>
        <w:t xml:space="preserve"> apply vacuum. Discard flow-through and place the </w:t>
      </w:r>
      <w:proofErr w:type="spellStart"/>
      <w:r>
        <w:t>QIAquick</w:t>
      </w:r>
      <w:proofErr w:type="spellEnd"/>
      <w:r>
        <w:t xml:space="preserve"> column back into the same tube. (Repeated this step one more time.)</w:t>
      </w:r>
    </w:p>
    <w:p w:rsidR="003C59BF" w:rsidRDefault="003C59BF" w:rsidP="003C59BF">
      <w:pPr>
        <w:numPr>
          <w:ilvl w:val="1"/>
          <w:numId w:val="2"/>
        </w:numPr>
        <w:spacing w:before="100" w:beforeAutospacing="1" w:after="100" w:afterAutospacing="1"/>
      </w:pPr>
      <w:r>
        <w:rPr>
          <w:strike/>
        </w:rPr>
        <w:t xml:space="preserve">Note: If the DNA will be used for salt-sensitive applications (e.g., sequencing, </w:t>
      </w:r>
      <w:proofErr w:type="spellStart"/>
      <w:r>
        <w:rPr>
          <w:strike/>
        </w:rPr>
        <w:t>bluntended</w:t>
      </w:r>
      <w:proofErr w:type="spellEnd"/>
      <w:r>
        <w:rPr>
          <w:strike/>
        </w:rPr>
        <w:t xml:space="preserve"> ligation), let the column stand 2–5 min after addition of Buffer PE.</w:t>
      </w:r>
    </w:p>
    <w:p w:rsidR="003C59BF" w:rsidRDefault="003C59BF" w:rsidP="003C59BF">
      <w:pPr>
        <w:numPr>
          <w:ilvl w:val="1"/>
          <w:numId w:val="2"/>
        </w:numPr>
        <w:spacing w:before="100" w:beforeAutospacing="1" w:after="100" w:afterAutospacing="1"/>
      </w:pPr>
      <w:r>
        <w:t xml:space="preserve">Centrifuge the </w:t>
      </w:r>
      <w:proofErr w:type="spellStart"/>
      <w:r>
        <w:t>QIAquick</w:t>
      </w:r>
      <w:proofErr w:type="spellEnd"/>
      <w:r>
        <w:t xml:space="preserve"> column in the provided 2 ml collection tube for </w:t>
      </w:r>
      <w:r>
        <w:rPr>
          <w:strike/>
        </w:rPr>
        <w:t>1</w:t>
      </w:r>
      <w:r>
        <w:t xml:space="preserve"> 3 min to remove residual wash buffer.</w:t>
      </w:r>
    </w:p>
    <w:p w:rsidR="003C59BF" w:rsidRDefault="003C59BF" w:rsidP="003C59BF">
      <w:pPr>
        <w:numPr>
          <w:ilvl w:val="0"/>
          <w:numId w:val="2"/>
        </w:numPr>
        <w:spacing w:before="100" w:beforeAutospacing="1" w:after="100" w:afterAutospacing="1"/>
      </w:pPr>
      <w:r>
        <w:t xml:space="preserve">Place </w:t>
      </w:r>
      <w:proofErr w:type="spellStart"/>
      <w:r>
        <w:t>QIAquick</w:t>
      </w:r>
      <w:proofErr w:type="spellEnd"/>
      <w:r>
        <w:t xml:space="preserve"> column into a clean 1.5 ml microcentrifuge tube.</w:t>
      </w:r>
    </w:p>
    <w:p w:rsidR="003C59BF" w:rsidRDefault="003C59BF" w:rsidP="003C59BF">
      <w:pPr>
        <w:numPr>
          <w:ilvl w:val="0"/>
          <w:numId w:val="2"/>
        </w:numPr>
        <w:spacing w:before="100" w:beforeAutospacing="1" w:after="100" w:afterAutospacing="1"/>
      </w:pPr>
      <w:r>
        <w:t xml:space="preserve">To elute DNA, add 50 </w:t>
      </w:r>
      <w:proofErr w:type="spellStart"/>
      <w:r>
        <w:t>μl</w:t>
      </w:r>
      <w:proofErr w:type="spellEnd"/>
      <w:r>
        <w:t xml:space="preserve"> Buffer 0.1X EB (10 mM </w:t>
      </w:r>
      <w:proofErr w:type="spellStart"/>
      <w:r>
        <w:t>Tris·Cl</w:t>
      </w:r>
      <w:proofErr w:type="spellEnd"/>
      <w:r>
        <w:t xml:space="preserve">, pH 8.5) or water to the center of the </w:t>
      </w:r>
      <w:proofErr w:type="spellStart"/>
      <w:r>
        <w:t>QIAquick</w:t>
      </w:r>
      <w:proofErr w:type="spellEnd"/>
      <w:r>
        <w:t xml:space="preserve"> membrane and centrifuge the column for 1 min. </w:t>
      </w:r>
      <w:r>
        <w:rPr>
          <w:u w:val="single"/>
        </w:rPr>
        <w:t xml:space="preserve">For increased DNA concentration, add 30 </w:t>
      </w:r>
      <w:proofErr w:type="spellStart"/>
      <w:r>
        <w:rPr>
          <w:u w:val="single"/>
        </w:rPr>
        <w:t>μl</w:t>
      </w:r>
      <w:proofErr w:type="spellEnd"/>
      <w:r>
        <w:rPr>
          <w:u w:val="single"/>
        </w:rPr>
        <w:t xml:space="preserve"> Buffer EB to the center of the </w:t>
      </w:r>
      <w:proofErr w:type="spellStart"/>
      <w:r>
        <w:rPr>
          <w:u w:val="single"/>
        </w:rPr>
        <w:t>QIAquick</w:t>
      </w:r>
      <w:proofErr w:type="spellEnd"/>
      <w:r>
        <w:rPr>
          <w:u w:val="single"/>
        </w:rPr>
        <w:t xml:space="preserve"> membrane</w:t>
      </w:r>
      <w:r>
        <w:t xml:space="preserve">, let the column stand for 1 min, and then </w:t>
      </w:r>
      <w:r>
        <w:rPr>
          <w:u w:val="single"/>
        </w:rPr>
        <w:t>centrifuge for 1 min.</w:t>
      </w:r>
      <w:r>
        <w:t xml:space="preserve"> After the addition of Buffer 0.1X EB to the </w:t>
      </w:r>
      <w:proofErr w:type="spellStart"/>
      <w:r>
        <w:t>QIAquick</w:t>
      </w:r>
      <w:proofErr w:type="spellEnd"/>
      <w:r>
        <w:t xml:space="preserve"> membrane, </w:t>
      </w:r>
      <w:r>
        <w:rPr>
          <w:u w:val="single"/>
        </w:rPr>
        <w:t>increasing the incubation time to up to 4 min</w:t>
      </w:r>
      <w:r>
        <w:t xml:space="preserve"> can increase the yield of purified DNA.</w:t>
      </w:r>
    </w:p>
    <w:p w:rsidR="003C59BF" w:rsidRDefault="003C59BF" w:rsidP="003C59BF">
      <w:pPr>
        <w:numPr>
          <w:ilvl w:val="0"/>
          <w:numId w:val="2"/>
        </w:numPr>
        <w:spacing w:before="100" w:beforeAutospacing="1" w:after="100" w:afterAutospacing="1"/>
      </w:pPr>
      <w:r>
        <w:rPr>
          <w:strike/>
        </w:rPr>
        <w:lastRenderedPageBreak/>
        <w:t>If purified DNA is to be analyzed on a gel, add 1 volume of Loading Dye to 5 volumes of purified DNA. Mix the solution by pipetting up and down before loading the gel.</w:t>
      </w:r>
    </w:p>
    <w:p w:rsidR="003C59BF" w:rsidRDefault="003C59BF" w:rsidP="003C59BF">
      <w:pPr>
        <w:pStyle w:val="NormalWeb"/>
      </w:pPr>
      <w:r>
        <w:t xml:space="preserve">Took Nanodrop readings of the insert and backbone and stored them in Jake </w:t>
      </w:r>
      <w:proofErr w:type="spellStart"/>
      <w:r>
        <w:t>Grecco’s</w:t>
      </w:r>
      <w:proofErr w:type="spellEnd"/>
      <w:r>
        <w:t xml:space="preserve"> box in the -20C freezer.</w:t>
      </w:r>
    </w:p>
    <w:p w:rsidR="003C59BF" w:rsidRDefault="003C59BF" w:rsidP="003C59BF">
      <w:pPr>
        <w:pStyle w:val="Heading2"/>
      </w:pPr>
      <w:r>
        <w:t>Table. Nanodrop readings of the pKR187 insert and backbone.</w:t>
      </w:r>
    </w:p>
    <w:tbl>
      <w:tblPr>
        <w:tblW w:w="7200" w:type="dxa"/>
        <w:tblLook w:val="04A0" w:firstRow="1" w:lastRow="0" w:firstColumn="1" w:lastColumn="0" w:noHBand="0" w:noVBand="1"/>
      </w:tblPr>
      <w:tblGrid>
        <w:gridCol w:w="2400"/>
        <w:gridCol w:w="2400"/>
        <w:gridCol w:w="2400"/>
      </w:tblGrid>
      <w:tr w:rsidR="003C59BF" w:rsidTr="003C59BF">
        <w:trPr>
          <w:trHeight w:val="264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FF"/>
            <w:noWrap/>
            <w:vAlign w:val="bottom"/>
            <w:hideMark/>
          </w:tcPr>
          <w:p w:rsidR="003C59BF" w:rsidRDefault="003C59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Sample ID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FF"/>
            <w:noWrap/>
            <w:vAlign w:val="bottom"/>
            <w:hideMark/>
          </w:tcPr>
          <w:p w:rsidR="003C59BF" w:rsidRDefault="003C59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ng/µl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FF"/>
            <w:noWrap/>
            <w:vAlign w:val="bottom"/>
            <w:hideMark/>
          </w:tcPr>
          <w:p w:rsidR="003C59BF" w:rsidRDefault="003C59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A260 (Abs)</w:t>
            </w:r>
          </w:p>
        </w:tc>
      </w:tr>
      <w:tr w:rsidR="003C59BF" w:rsidTr="003C59BF">
        <w:trPr>
          <w:trHeight w:val="264"/>
        </w:trPr>
        <w:tc>
          <w:tcPr>
            <w:tcW w:w="2400" w:type="dxa"/>
            <w:noWrap/>
            <w:vAlign w:val="bottom"/>
            <w:hideMark/>
          </w:tcPr>
          <w:p w:rsidR="003C59BF" w:rsidRDefault="003C59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pKR187_insert</w:t>
            </w:r>
          </w:p>
        </w:tc>
        <w:tc>
          <w:tcPr>
            <w:tcW w:w="2400" w:type="dxa"/>
            <w:noWrap/>
            <w:vAlign w:val="bottom"/>
            <w:hideMark/>
          </w:tcPr>
          <w:p w:rsidR="003C59BF" w:rsidRDefault="003C59B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37.9</w:t>
            </w:r>
          </w:p>
        </w:tc>
        <w:tc>
          <w:tcPr>
            <w:tcW w:w="2400" w:type="dxa"/>
            <w:noWrap/>
            <w:vAlign w:val="bottom"/>
            <w:hideMark/>
          </w:tcPr>
          <w:p w:rsidR="003C59BF" w:rsidRDefault="003C59B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0.757</w:t>
            </w:r>
          </w:p>
        </w:tc>
      </w:tr>
      <w:tr w:rsidR="003C59BF" w:rsidTr="003C59BF">
        <w:trPr>
          <w:trHeight w:val="264"/>
        </w:trPr>
        <w:tc>
          <w:tcPr>
            <w:tcW w:w="2400" w:type="dxa"/>
            <w:noWrap/>
            <w:vAlign w:val="bottom"/>
            <w:hideMark/>
          </w:tcPr>
          <w:p w:rsidR="003C59BF" w:rsidRDefault="003C59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pKR187_backbone</w:t>
            </w:r>
          </w:p>
        </w:tc>
        <w:tc>
          <w:tcPr>
            <w:tcW w:w="2400" w:type="dxa"/>
            <w:noWrap/>
            <w:vAlign w:val="bottom"/>
            <w:hideMark/>
          </w:tcPr>
          <w:p w:rsidR="003C59BF" w:rsidRDefault="003C59B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22.4</w:t>
            </w:r>
          </w:p>
        </w:tc>
        <w:tc>
          <w:tcPr>
            <w:tcW w:w="2400" w:type="dxa"/>
            <w:noWrap/>
            <w:vAlign w:val="bottom"/>
            <w:hideMark/>
          </w:tcPr>
          <w:p w:rsidR="003C59BF" w:rsidRDefault="003C59B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0.449</w:t>
            </w:r>
          </w:p>
        </w:tc>
      </w:tr>
    </w:tbl>
    <w:p w:rsidR="003C59BF" w:rsidRDefault="003C59BF" w:rsidP="003C59BF">
      <w:pPr>
        <w:rPr>
          <w:b/>
          <w:u w:val="single"/>
        </w:rPr>
      </w:pPr>
    </w:p>
    <w:p w:rsidR="003C59BF" w:rsidRDefault="003C59BF" w:rsidP="003C59BF">
      <w:pPr>
        <w:pStyle w:val="Heading1"/>
      </w:pPr>
      <w:r>
        <w:t>Ligation</w:t>
      </w:r>
    </w:p>
    <w:p w:rsidR="003C59BF" w:rsidRDefault="003C59BF" w:rsidP="003C59BF">
      <w:pPr>
        <w:numPr>
          <w:ilvl w:val="0"/>
          <w:numId w:val="3"/>
        </w:numPr>
        <w:spacing w:before="100" w:beforeAutospacing="1" w:after="100" w:afterAutospacing="1"/>
      </w:pPr>
      <w:r>
        <w:t>Make a reaction table with desired ligations. Always include a backbone only control for each plasmid backbone used.</w:t>
      </w:r>
    </w:p>
    <w:tbl>
      <w:tblPr>
        <w:tblStyle w:val="TableGridLight"/>
        <w:tblW w:w="0" w:type="auto"/>
        <w:tblInd w:w="0" w:type="dxa"/>
        <w:tblLook w:val="04A0" w:firstRow="1" w:lastRow="0" w:firstColumn="1" w:lastColumn="0" w:noHBand="0" w:noVBand="1"/>
      </w:tblPr>
      <w:tblGrid>
        <w:gridCol w:w="750"/>
        <w:gridCol w:w="2285"/>
        <w:gridCol w:w="3000"/>
        <w:gridCol w:w="3315"/>
      </w:tblGrid>
      <w:tr w:rsidR="003C59BF" w:rsidTr="003C59BF"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3C59BF" w:rsidRDefault="003C59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Tube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3C59BF" w:rsidRDefault="003C59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Product ID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3C59BF" w:rsidRDefault="003C59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Insert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3C59BF" w:rsidRDefault="003C59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Backbone</w:t>
            </w:r>
          </w:p>
        </w:tc>
      </w:tr>
      <w:tr w:rsidR="003C59BF" w:rsidTr="003C59BF"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3C59BF" w:rsidRDefault="003C59BF">
            <w:r>
              <w:t>1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3C59BF" w:rsidRDefault="003C59BF">
            <w:r>
              <w:t>pKR187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3C59BF" w:rsidRDefault="003C59BF">
            <w:proofErr w:type="spellStart"/>
            <w:r>
              <w:t>KpnI</w:t>
            </w:r>
            <w:proofErr w:type="spellEnd"/>
            <w:r>
              <w:t xml:space="preserve">, </w:t>
            </w:r>
            <w:proofErr w:type="spellStart"/>
            <w:r>
              <w:t>NotI</w:t>
            </w:r>
            <w:proofErr w:type="spellEnd"/>
            <w:r>
              <w:t xml:space="preserve"> digested, purified PCR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3C59BF" w:rsidRDefault="003C59BF">
            <w:proofErr w:type="spellStart"/>
            <w:r>
              <w:t>KpnI</w:t>
            </w:r>
            <w:proofErr w:type="spellEnd"/>
            <w:r>
              <w:t xml:space="preserve">, </w:t>
            </w:r>
            <w:proofErr w:type="spellStart"/>
            <w:r>
              <w:t>NotI</w:t>
            </w:r>
            <w:proofErr w:type="spellEnd"/>
            <w:r>
              <w:t xml:space="preserve"> digested, purified pKR145</w:t>
            </w:r>
          </w:p>
        </w:tc>
      </w:tr>
      <w:tr w:rsidR="003C59BF" w:rsidTr="003C59BF"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3C59BF" w:rsidRDefault="003C59BF">
            <w:r>
              <w:t>2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3C59BF" w:rsidRDefault="003C59BF">
            <w:r>
              <w:t>Control (backbone only)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3C59BF" w:rsidRDefault="003C59BF">
            <w:r>
              <w:t>-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3C59BF" w:rsidRDefault="003C59BF">
            <w:proofErr w:type="spellStart"/>
            <w:r>
              <w:t>KpnI</w:t>
            </w:r>
            <w:proofErr w:type="spellEnd"/>
            <w:r>
              <w:t xml:space="preserve">, </w:t>
            </w:r>
            <w:proofErr w:type="spellStart"/>
            <w:r>
              <w:t>NotI</w:t>
            </w:r>
            <w:proofErr w:type="spellEnd"/>
            <w:r>
              <w:t xml:space="preserve"> digested, purified pKR145</w:t>
            </w:r>
          </w:p>
        </w:tc>
      </w:tr>
    </w:tbl>
    <w:p w:rsidR="003C59BF" w:rsidRDefault="003C59BF" w:rsidP="003C59BF">
      <w:pPr>
        <w:numPr>
          <w:ilvl w:val="0"/>
          <w:numId w:val="4"/>
        </w:numPr>
        <w:spacing w:before="100" w:beforeAutospacing="1" w:after="100" w:afterAutospacing="1"/>
      </w:pPr>
      <w:r>
        <w:t>Set up master mix tables: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483"/>
        <w:gridCol w:w="2379"/>
        <w:gridCol w:w="2379"/>
        <w:gridCol w:w="2109"/>
      </w:tblGrid>
      <w:tr w:rsidR="003C59BF" w:rsidTr="003C59BF"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9BF" w:rsidRDefault="003C59BF">
            <w:r>
              <w:t>Component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9BF" w:rsidRDefault="003C59BF">
            <w:r>
              <w:t>Reaction 1 (</w:t>
            </w:r>
            <w:proofErr w:type="spellStart"/>
            <w:r>
              <w:t>uL</w:t>
            </w:r>
            <w:proofErr w:type="spellEnd"/>
            <w:r>
              <w:t>)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9BF" w:rsidRDefault="003C59BF">
            <w:r>
              <w:t>Reaction 2 (</w:t>
            </w:r>
            <w:proofErr w:type="spellStart"/>
            <w:r>
              <w:t>uL</w:t>
            </w:r>
            <w:proofErr w:type="spellEnd"/>
            <w:r>
              <w:t>)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9BF" w:rsidRDefault="003C59BF">
            <w:r>
              <w:t>Master Mix (3x)</w:t>
            </w:r>
          </w:p>
        </w:tc>
      </w:tr>
      <w:tr w:rsidR="003C59BF" w:rsidTr="003C59BF"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9BF" w:rsidRDefault="003C59BF">
            <w:r>
              <w:t>H</w:t>
            </w:r>
            <w:r>
              <w:rPr>
                <w:vertAlign w:val="subscript"/>
              </w:rPr>
              <w:t>2</w:t>
            </w:r>
            <w:r>
              <w:t>O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9BF" w:rsidRDefault="003C59BF">
            <w:r>
              <w:t>11.5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9BF" w:rsidRDefault="003C59BF">
            <w:r>
              <w:t>11.5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9BF" w:rsidRDefault="003C59BF">
            <w:r>
              <w:t>34.5</w:t>
            </w:r>
          </w:p>
        </w:tc>
      </w:tr>
      <w:tr w:rsidR="003C59BF" w:rsidTr="003C59BF"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9BF" w:rsidRDefault="003C59BF">
            <w:r>
              <w:t>10x ligase buffer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9BF" w:rsidRDefault="003C59BF">
            <w:r>
              <w:t>2.0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9BF" w:rsidRDefault="003C59BF">
            <w:r>
              <w:t>2.0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9BF" w:rsidRDefault="003C59BF">
            <w:r>
              <w:t>6</w:t>
            </w:r>
          </w:p>
        </w:tc>
      </w:tr>
      <w:tr w:rsidR="003C59BF" w:rsidTr="003C59BF"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9BF" w:rsidRDefault="003C59BF">
            <w:r>
              <w:t>Insert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9BF" w:rsidRDefault="003C59BF">
            <w:r>
              <w:t>4.0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9BF" w:rsidRDefault="003C59BF">
            <w: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9BF" w:rsidRDefault="003C59BF">
            <w:r>
              <w:t>-</w:t>
            </w:r>
          </w:p>
        </w:tc>
      </w:tr>
      <w:tr w:rsidR="003C59BF" w:rsidTr="003C59BF"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9BF" w:rsidRDefault="003C59BF">
            <w:r>
              <w:t>Backbone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9BF" w:rsidRDefault="003C59BF">
            <w:r>
              <w:t>2.0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9BF" w:rsidRDefault="003C59BF">
            <w:r>
              <w:t>2.0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9BF" w:rsidRDefault="003C59BF">
            <w:r>
              <w:t>6</w:t>
            </w:r>
          </w:p>
        </w:tc>
      </w:tr>
      <w:tr w:rsidR="003C59BF" w:rsidTr="003C59BF"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9BF" w:rsidRDefault="003C59BF">
            <w:r>
              <w:t>Ligase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9BF" w:rsidRDefault="003C59BF">
            <w:r>
              <w:t>0.5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9BF" w:rsidRDefault="003C59BF">
            <w:r>
              <w:t>0.5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9BF" w:rsidRDefault="003C59BF">
            <w:r>
              <w:t>1.5</w:t>
            </w:r>
          </w:p>
        </w:tc>
      </w:tr>
      <w:tr w:rsidR="003C59BF" w:rsidTr="003C59BF"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9BF" w:rsidRDefault="003C59BF">
            <w:r>
              <w:t>TOTAL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9BF" w:rsidRDefault="003C59BF">
            <w:r>
              <w:t>20.0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9BF" w:rsidRDefault="003C59BF">
            <w:r>
              <w:t>20.0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9BF" w:rsidRDefault="003C59BF">
            <w:r>
              <w:t>48</w:t>
            </w:r>
          </w:p>
        </w:tc>
      </w:tr>
    </w:tbl>
    <w:p w:rsidR="003C59BF" w:rsidRDefault="003C59BF" w:rsidP="003C59BF">
      <w:pPr>
        <w:numPr>
          <w:ilvl w:val="0"/>
          <w:numId w:val="5"/>
        </w:numPr>
        <w:spacing w:before="100" w:beforeAutospacing="1" w:after="100" w:afterAutospacing="1"/>
      </w:pPr>
      <w:r>
        <w:t xml:space="preserve">Obtain ice to assemble and keep the reactions on. This is important, as the reaction happens at </w:t>
      </w:r>
      <w:proofErr w:type="gramStart"/>
      <w:r>
        <w:t>16C</w:t>
      </w:r>
      <w:proofErr w:type="gramEnd"/>
      <w:r>
        <w:t xml:space="preserve"> and the ligase buffer (which contains ATP) needs to be kept cold in order to avoid degradation. Bring over a 10 </w:t>
      </w:r>
      <w:proofErr w:type="spellStart"/>
      <w:r>
        <w:t>uL</w:t>
      </w:r>
      <w:proofErr w:type="spellEnd"/>
      <w:r>
        <w:t xml:space="preserve"> aliquot of 10X ligase buffer from the miscellaneous buffers box in the -20C with a cooler.</w:t>
      </w:r>
    </w:p>
    <w:p w:rsidR="003C59BF" w:rsidRDefault="003C59BF" w:rsidP="003C59BF">
      <w:pPr>
        <w:numPr>
          <w:ilvl w:val="0"/>
          <w:numId w:val="5"/>
        </w:numPr>
        <w:spacing w:before="100" w:beforeAutospacing="1" w:after="100" w:afterAutospacing="1"/>
      </w:pPr>
      <w:r>
        <w:t>Obtain and label PCR tubes for the reactions. Be sure to include the date and your initials.</w:t>
      </w:r>
    </w:p>
    <w:p w:rsidR="003C59BF" w:rsidRDefault="003C59BF" w:rsidP="003C59BF">
      <w:pPr>
        <w:numPr>
          <w:ilvl w:val="0"/>
          <w:numId w:val="5"/>
        </w:numPr>
        <w:spacing w:before="100" w:beforeAutospacing="1" w:after="100" w:afterAutospacing="1"/>
      </w:pPr>
      <w:r>
        <w:rPr>
          <w:strike/>
        </w:rPr>
        <w:t xml:space="preserve">To the individual tubes, add indicated amounts of H2O, 10x buffer (2.0 </w:t>
      </w:r>
      <w:proofErr w:type="spellStart"/>
      <w:r>
        <w:rPr>
          <w:strike/>
        </w:rPr>
        <w:t>uL</w:t>
      </w:r>
      <w:proofErr w:type="spellEnd"/>
      <w:r>
        <w:rPr>
          <w:strike/>
        </w:rPr>
        <w:t>), insert, and backbone.</w:t>
      </w:r>
    </w:p>
    <w:p w:rsidR="003C59BF" w:rsidRDefault="003C59BF" w:rsidP="003C59BF">
      <w:pPr>
        <w:numPr>
          <w:ilvl w:val="0"/>
          <w:numId w:val="5"/>
        </w:numPr>
        <w:spacing w:before="100" w:beforeAutospacing="1" w:after="100" w:afterAutospacing="1"/>
      </w:pPr>
      <w:r>
        <w:rPr>
          <w:strike/>
        </w:rPr>
        <w:t xml:space="preserve">Add indicated amount of ligase (0.5 </w:t>
      </w:r>
      <w:proofErr w:type="spellStart"/>
      <w:r>
        <w:rPr>
          <w:strike/>
        </w:rPr>
        <w:t>uL</w:t>
      </w:r>
      <w:proofErr w:type="spellEnd"/>
      <w:r>
        <w:rPr>
          <w:strike/>
        </w:rPr>
        <w:t>) to the individual tubes. Remember to keep the ligase in a mini cooler.</w:t>
      </w:r>
    </w:p>
    <w:p w:rsidR="003C59BF" w:rsidRDefault="003C59BF" w:rsidP="003C59BF">
      <w:pPr>
        <w:numPr>
          <w:ilvl w:val="0"/>
          <w:numId w:val="5"/>
        </w:numPr>
        <w:spacing w:before="100" w:beforeAutospacing="1" w:after="100" w:afterAutospacing="1"/>
      </w:pPr>
      <w:r>
        <w:t>Added insert DNA to reaction 1 and water to reaction 2.</w:t>
      </w:r>
    </w:p>
    <w:p w:rsidR="003C59BF" w:rsidRDefault="003C59BF" w:rsidP="003C59BF">
      <w:pPr>
        <w:numPr>
          <w:ilvl w:val="0"/>
          <w:numId w:val="5"/>
        </w:numPr>
        <w:spacing w:before="100" w:beforeAutospacing="1" w:after="100" w:afterAutospacing="1"/>
      </w:pPr>
      <w:r>
        <w:t>Made Master Mix with required amounts of water, ligase buffer, backbone, and T4 ligase and pipetted gently up and down.</w:t>
      </w:r>
    </w:p>
    <w:p w:rsidR="003C59BF" w:rsidRDefault="003C59BF" w:rsidP="003C59BF">
      <w:pPr>
        <w:numPr>
          <w:ilvl w:val="0"/>
          <w:numId w:val="5"/>
        </w:numPr>
        <w:spacing w:before="100" w:beforeAutospacing="1" w:after="100" w:afterAutospacing="1"/>
      </w:pPr>
      <w:r>
        <w:lastRenderedPageBreak/>
        <w:t xml:space="preserve">Transferred 16 </w:t>
      </w:r>
      <w:proofErr w:type="spellStart"/>
      <w:r>
        <w:t>uL</w:t>
      </w:r>
      <w:proofErr w:type="spellEnd"/>
      <w:r>
        <w:t xml:space="preserve"> Master Mix to each PCR tube and pipetted gently up and down.</w:t>
      </w:r>
    </w:p>
    <w:p w:rsidR="003C59BF" w:rsidRDefault="003C59BF" w:rsidP="003C59BF">
      <w:pPr>
        <w:numPr>
          <w:ilvl w:val="0"/>
          <w:numId w:val="5"/>
        </w:numPr>
        <w:spacing w:before="100" w:beforeAutospacing="1" w:after="100" w:afterAutospacing="1"/>
      </w:pPr>
      <w:r>
        <w:t xml:space="preserve">Place in the thermocycler or water bath overnight at 16C. Can do at </w:t>
      </w:r>
      <w:r>
        <w:rPr>
          <w:rStyle w:val="Strong"/>
          <w:rFonts w:eastAsiaTheme="majorEastAsia"/>
        </w:rPr>
        <w:t xml:space="preserve">room temp for 10 </w:t>
      </w:r>
      <w:proofErr w:type="gramStart"/>
      <w:r>
        <w:rPr>
          <w:rStyle w:val="Strong"/>
          <w:rFonts w:eastAsiaTheme="majorEastAsia"/>
        </w:rPr>
        <w:t>minutes</w:t>
      </w:r>
      <w:proofErr w:type="gramEnd"/>
      <w:r>
        <w:t xml:space="preserve"> if necessary, then place back on ice.</w:t>
      </w:r>
    </w:p>
    <w:p w:rsidR="003C59BF" w:rsidRDefault="003C59BF" w:rsidP="003C59BF">
      <w:pPr>
        <w:numPr>
          <w:ilvl w:val="0"/>
          <w:numId w:val="5"/>
        </w:numPr>
        <w:spacing w:before="100" w:beforeAutospacing="1" w:after="100" w:afterAutospacing="1"/>
      </w:pPr>
      <w:r>
        <w:t>Store at -20C.</w:t>
      </w:r>
    </w:p>
    <w:p w:rsidR="003C59BF" w:rsidRDefault="003C59BF" w:rsidP="003C59BF">
      <w:pPr>
        <w:pStyle w:val="Heading1"/>
      </w:pPr>
      <w:r>
        <w:t>Transforming Chemically Competent E. coli (pKR187 Ligation)</w:t>
      </w:r>
    </w:p>
    <w:p w:rsidR="003C59BF" w:rsidRDefault="003C59BF" w:rsidP="003C59BF">
      <w:pPr>
        <w:numPr>
          <w:ilvl w:val="0"/>
          <w:numId w:val="6"/>
        </w:numPr>
        <w:spacing w:before="100" w:beforeAutospacing="1" w:after="100" w:afterAutospacing="1"/>
      </w:pPr>
      <w:r>
        <w:t xml:space="preserve">Set up reaction table. </w:t>
      </w:r>
      <w:r>
        <w:rPr>
          <w:rStyle w:val="Strong"/>
          <w:rFonts w:eastAsiaTheme="majorEastAsia"/>
        </w:rPr>
        <w:t>Always include a positive and negative control for each antibiotic</w:t>
      </w:r>
      <w:r>
        <w:t xml:space="preserve">. If transforming plasmids (from previous plasmid prep), use 0.5 – 1 </w:t>
      </w:r>
      <w:proofErr w:type="spellStart"/>
      <w:r>
        <w:t>uL</w:t>
      </w:r>
      <w:proofErr w:type="spellEnd"/>
      <w:r>
        <w:t xml:space="preserve"> of plasmid. </w:t>
      </w:r>
      <w:r>
        <w:rPr>
          <w:rStyle w:val="Strong"/>
          <w:rFonts w:eastAsiaTheme="majorEastAsia"/>
        </w:rPr>
        <w:t xml:space="preserve">If transforming ligations, use 8 </w:t>
      </w:r>
      <w:proofErr w:type="spellStart"/>
      <w:r>
        <w:rPr>
          <w:rStyle w:val="Strong"/>
          <w:rFonts w:eastAsiaTheme="majorEastAsia"/>
        </w:rPr>
        <w:t>uL</w:t>
      </w:r>
      <w:proofErr w:type="spellEnd"/>
      <w:r>
        <w:rPr>
          <w:rStyle w:val="Strong"/>
          <w:rFonts w:eastAsiaTheme="majorEastAsia"/>
        </w:rPr>
        <w:t xml:space="preserve"> per ligation.</w:t>
      </w:r>
      <w:r>
        <w:t xml:space="preserve"> If transforming plasmid, plate 20 uL,100 </w:t>
      </w:r>
      <w:proofErr w:type="spellStart"/>
      <w:r>
        <w:t>uL</w:t>
      </w:r>
      <w:proofErr w:type="spellEnd"/>
      <w:r>
        <w:t xml:space="preserve">, and remaining volume. If transforming a ligation, plate 100 </w:t>
      </w:r>
      <w:proofErr w:type="spellStart"/>
      <w:r>
        <w:t>uL</w:t>
      </w:r>
      <w:proofErr w:type="spellEnd"/>
      <w:r>
        <w:t xml:space="preserve"> and remaining culture. </w:t>
      </w:r>
    </w:p>
    <w:p w:rsidR="003C59BF" w:rsidRDefault="003C59BF" w:rsidP="003C59BF">
      <w:pPr>
        <w:numPr>
          <w:ilvl w:val="1"/>
          <w:numId w:val="6"/>
        </w:numPr>
        <w:spacing w:before="100" w:beforeAutospacing="1" w:after="100" w:afterAutospacing="1"/>
      </w:pPr>
      <w:r>
        <w:t>Note: The plasmid used for the positive control plates should be the regular circular plasmid, not the digest/purified one.</w:t>
      </w:r>
    </w:p>
    <w:p w:rsidR="003C59BF" w:rsidRDefault="003C59BF" w:rsidP="003C59BF">
      <w:pPr>
        <w:numPr>
          <w:ilvl w:val="1"/>
          <w:numId w:val="6"/>
        </w:numPr>
        <w:spacing w:before="100" w:beforeAutospacing="1" w:after="100" w:afterAutospacing="1"/>
      </w:pPr>
      <w:r>
        <w:t>There should always be a backbone control if testing a ligation. This is the digested and ligated backbone with NO INSERT.</w:t>
      </w:r>
    </w:p>
    <w:tbl>
      <w:tblPr>
        <w:tblStyle w:val="TableGridLight"/>
        <w:tblW w:w="0" w:type="auto"/>
        <w:tblInd w:w="0" w:type="dxa"/>
        <w:tblLook w:val="04A0" w:firstRow="1" w:lastRow="0" w:firstColumn="1" w:lastColumn="0" w:noHBand="0" w:noVBand="1"/>
      </w:tblPr>
      <w:tblGrid>
        <w:gridCol w:w="1305"/>
        <w:gridCol w:w="2091"/>
        <w:gridCol w:w="1353"/>
        <w:gridCol w:w="1186"/>
        <w:gridCol w:w="1250"/>
        <w:gridCol w:w="2165"/>
      </w:tblGrid>
      <w:tr w:rsidR="003C59BF" w:rsidTr="003C59BF"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3C59BF" w:rsidRDefault="003C59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Tube number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3C59BF" w:rsidRDefault="003C59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Purpose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3C59BF" w:rsidRDefault="003C59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DNA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3C59BF" w:rsidRDefault="003C59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Volume of DNA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3C59BF" w:rsidRDefault="003C59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Final volume to plate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3C59BF" w:rsidRDefault="003C59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Number of carbenicillin-containing plates</w:t>
            </w:r>
          </w:p>
        </w:tc>
      </w:tr>
      <w:tr w:rsidR="003C59BF" w:rsidTr="003C59BF"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3C59BF" w:rsidRDefault="003C59BF">
            <w:r>
              <w:t>1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3C59BF" w:rsidRDefault="003C59BF">
            <w:r>
              <w:t>Plasmid with six nucleotide mutation in FTL0215 UTR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3C59BF" w:rsidRDefault="003C59BF">
            <w:r>
              <w:t>pKR187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3C59BF" w:rsidRDefault="003C59BF">
            <w:r>
              <w:t xml:space="preserve">8 </w:t>
            </w:r>
            <w:proofErr w:type="spellStart"/>
            <w:r>
              <w:t>uL</w:t>
            </w:r>
            <w:proofErr w:type="spellEnd"/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3C59BF" w:rsidRDefault="003C59BF">
            <w:r>
              <w:t xml:space="preserve">20 </w:t>
            </w:r>
            <w:proofErr w:type="spellStart"/>
            <w:r>
              <w:t>uL</w:t>
            </w:r>
            <w:proofErr w:type="spellEnd"/>
            <w:r>
              <w:t xml:space="preserve">, 200 </w:t>
            </w:r>
            <w:proofErr w:type="spellStart"/>
            <w:r>
              <w:t>uL</w:t>
            </w:r>
            <w:proofErr w:type="spellEnd"/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3C59BF" w:rsidRDefault="003C59BF">
            <w:r>
              <w:t>2</w:t>
            </w:r>
          </w:p>
        </w:tc>
      </w:tr>
      <w:tr w:rsidR="003C59BF" w:rsidTr="003C59BF"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3C59BF" w:rsidRDefault="003C59BF">
            <w:r>
              <w:t>2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3C59BF" w:rsidRDefault="003C59BF">
            <w:r>
              <w:t>Backbone Ligation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3C59BF" w:rsidRDefault="003C59BF">
            <w:r>
              <w:t>pKR145 (digested)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3C59BF" w:rsidRDefault="003C59BF">
            <w:r>
              <w:t xml:space="preserve">8 </w:t>
            </w:r>
            <w:proofErr w:type="spellStart"/>
            <w:r>
              <w:t>uL</w:t>
            </w:r>
            <w:proofErr w:type="spellEnd"/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3C59BF" w:rsidRDefault="003C59BF">
            <w:r>
              <w:t xml:space="preserve">20 </w:t>
            </w:r>
            <w:proofErr w:type="spellStart"/>
            <w:r>
              <w:t>uL</w:t>
            </w:r>
            <w:proofErr w:type="spellEnd"/>
            <w:r>
              <w:t xml:space="preserve">, 200 </w:t>
            </w:r>
            <w:proofErr w:type="spellStart"/>
            <w:r>
              <w:t>uL</w:t>
            </w:r>
            <w:proofErr w:type="spellEnd"/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3C59BF" w:rsidRDefault="003C59BF">
            <w:r>
              <w:t>2</w:t>
            </w:r>
          </w:p>
        </w:tc>
      </w:tr>
      <w:tr w:rsidR="003C59BF" w:rsidTr="003C59BF"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3C59BF" w:rsidRDefault="003C59BF">
            <w:r>
              <w:t>3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3C59BF" w:rsidRDefault="003C59BF">
            <w:r>
              <w:t>(+) control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3C59BF" w:rsidRDefault="003C59BF">
            <w:r>
              <w:t>pKR144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3C59BF" w:rsidRDefault="003C59BF">
            <w:r>
              <w:t xml:space="preserve">1 </w:t>
            </w:r>
            <w:proofErr w:type="spellStart"/>
            <w:r>
              <w:t>uL</w:t>
            </w:r>
            <w:proofErr w:type="spellEnd"/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3C59BF" w:rsidRDefault="003C59BF">
            <w:r>
              <w:t xml:space="preserve">100 </w:t>
            </w:r>
            <w:proofErr w:type="spellStart"/>
            <w:r>
              <w:t>ul</w:t>
            </w:r>
            <w:proofErr w:type="spellEnd"/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3C59BF" w:rsidRDefault="003C59BF">
            <w:r>
              <w:t>1</w:t>
            </w:r>
          </w:p>
        </w:tc>
      </w:tr>
      <w:tr w:rsidR="003C59BF" w:rsidTr="003C59BF"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3C59BF" w:rsidRDefault="003C59BF">
            <w:r>
              <w:t>4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3C59BF" w:rsidRDefault="003C59BF">
            <w:r>
              <w:t>(-) control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3C59BF" w:rsidRDefault="003C59BF">
            <w:r>
              <w:t>None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3C59BF" w:rsidRDefault="003C59BF">
            <w:r>
              <w:t xml:space="preserve">0 </w:t>
            </w:r>
            <w:proofErr w:type="spellStart"/>
            <w:r>
              <w:t>uL</w:t>
            </w:r>
            <w:proofErr w:type="spellEnd"/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3C59BF" w:rsidRDefault="003C59BF">
            <w:r>
              <w:t xml:space="preserve">100 </w:t>
            </w:r>
            <w:proofErr w:type="spellStart"/>
            <w:r>
              <w:t>ul</w:t>
            </w:r>
            <w:proofErr w:type="spellEnd"/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3C59BF" w:rsidRDefault="003C59BF">
            <w:r>
              <w:t>1</w:t>
            </w:r>
          </w:p>
        </w:tc>
      </w:tr>
      <w:tr w:rsidR="003C59BF" w:rsidTr="003C59BF"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3C59BF" w:rsidRDefault="003C59BF">
            <w:r>
              <w:t>Total number of plates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3C59BF" w:rsidRDefault="003C59BF"/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3C59BF" w:rsidRDefault="003C59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3C59BF" w:rsidRDefault="003C59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3C59BF" w:rsidRDefault="003C59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3C59BF" w:rsidRDefault="003C59BF">
            <w:r>
              <w:t>6</w:t>
            </w:r>
          </w:p>
        </w:tc>
      </w:tr>
    </w:tbl>
    <w:p w:rsidR="003C59BF" w:rsidRDefault="003C59BF" w:rsidP="003C59BF">
      <w:pPr>
        <w:numPr>
          <w:ilvl w:val="0"/>
          <w:numId w:val="7"/>
        </w:numPr>
        <w:spacing w:before="100" w:beforeAutospacing="1" w:after="100" w:afterAutospacing="1"/>
      </w:pPr>
      <w:r>
        <w:t>Check to be sure you have enough LB plates with appropriate antibiotic. If plates were stored at 4°C, warm at 37°C until needed.</w:t>
      </w:r>
    </w:p>
    <w:p w:rsidR="003C59BF" w:rsidRDefault="003C59BF" w:rsidP="003C59BF">
      <w:pPr>
        <w:numPr>
          <w:ilvl w:val="0"/>
          <w:numId w:val="7"/>
        </w:numPr>
        <w:spacing w:before="100" w:beforeAutospacing="1" w:after="100" w:afterAutospacing="1"/>
      </w:pPr>
      <w:r>
        <w:t>Obtain ice. Label sterile tubes according to table and place on ice.</w:t>
      </w:r>
    </w:p>
    <w:p w:rsidR="003C59BF" w:rsidRDefault="003C59BF" w:rsidP="003C59BF">
      <w:pPr>
        <w:numPr>
          <w:ilvl w:val="0"/>
          <w:numId w:val="7"/>
        </w:numPr>
        <w:spacing w:before="100" w:beforeAutospacing="1" w:after="100" w:afterAutospacing="1"/>
      </w:pPr>
      <w:r>
        <w:t>Obtain DNA and thaw on ice if necessary.</w:t>
      </w:r>
    </w:p>
    <w:p w:rsidR="003C59BF" w:rsidRDefault="003C59BF" w:rsidP="003C59BF">
      <w:pPr>
        <w:numPr>
          <w:ilvl w:val="0"/>
          <w:numId w:val="7"/>
        </w:numPr>
        <w:spacing w:before="100" w:beforeAutospacing="1" w:after="100" w:afterAutospacing="1"/>
      </w:pPr>
      <w:r>
        <w:t>Thaw appropriate number of competent cell tubes on ice (5 reactions per tube of competent cells).</w:t>
      </w:r>
    </w:p>
    <w:p w:rsidR="003C59BF" w:rsidRDefault="003C59BF" w:rsidP="003C59BF">
      <w:pPr>
        <w:numPr>
          <w:ilvl w:val="0"/>
          <w:numId w:val="7"/>
        </w:numPr>
        <w:spacing w:before="100" w:beforeAutospacing="1" w:after="100" w:afterAutospacing="1"/>
      </w:pPr>
      <w:r>
        <w:t>Add indicated volume of DNA to respective tubes on ice.</w:t>
      </w:r>
    </w:p>
    <w:p w:rsidR="003C59BF" w:rsidRDefault="003C59BF" w:rsidP="003C59BF">
      <w:pPr>
        <w:numPr>
          <w:ilvl w:val="0"/>
          <w:numId w:val="7"/>
        </w:numPr>
        <w:spacing w:before="100" w:beforeAutospacing="1" w:after="100" w:afterAutospacing="1"/>
      </w:pPr>
      <w:r>
        <w:t xml:space="preserve">When competent cells are thawed (check by probing for frozen cells using a sterile pipette tip), gently pipette 100 </w:t>
      </w:r>
      <w:proofErr w:type="spellStart"/>
      <w:r>
        <w:t>uL</w:t>
      </w:r>
      <w:proofErr w:type="spellEnd"/>
      <w:r>
        <w:t xml:space="preserve"> of cells into each reaction tube directly onto DNA using aseptic technique.</w:t>
      </w:r>
    </w:p>
    <w:p w:rsidR="003C59BF" w:rsidRDefault="003C59BF" w:rsidP="003C59BF">
      <w:pPr>
        <w:numPr>
          <w:ilvl w:val="0"/>
          <w:numId w:val="7"/>
        </w:numPr>
        <w:spacing w:before="100" w:beforeAutospacing="1" w:after="100" w:afterAutospacing="1"/>
      </w:pPr>
      <w:r>
        <w:t xml:space="preserve">Incubate cells on ice for </w:t>
      </w:r>
      <w:r>
        <w:rPr>
          <w:rStyle w:val="Strong"/>
          <w:rFonts w:eastAsiaTheme="majorEastAsia"/>
        </w:rPr>
        <w:t>20 minutes</w:t>
      </w:r>
      <w:r>
        <w:t>. During incubation set heat block to 42°C.</w:t>
      </w:r>
    </w:p>
    <w:p w:rsidR="003C59BF" w:rsidRDefault="003C59BF" w:rsidP="003C59BF">
      <w:pPr>
        <w:numPr>
          <w:ilvl w:val="0"/>
          <w:numId w:val="7"/>
        </w:numPr>
        <w:spacing w:before="100" w:beforeAutospacing="1" w:after="100" w:afterAutospacing="1"/>
      </w:pPr>
      <w:r>
        <w:t xml:space="preserve">Place tubes with cells and DNA onto 42°C heat block for </w:t>
      </w:r>
      <w:r>
        <w:rPr>
          <w:rStyle w:val="Strong"/>
          <w:rFonts w:eastAsiaTheme="majorEastAsia"/>
        </w:rPr>
        <w:t>30 seconds</w:t>
      </w:r>
      <w:r>
        <w:t xml:space="preserve"> (heat shock step).</w:t>
      </w:r>
    </w:p>
    <w:p w:rsidR="003C59BF" w:rsidRDefault="003C59BF" w:rsidP="003C59BF">
      <w:pPr>
        <w:numPr>
          <w:ilvl w:val="0"/>
          <w:numId w:val="7"/>
        </w:numPr>
        <w:spacing w:before="100" w:beforeAutospacing="1" w:after="100" w:afterAutospacing="1"/>
      </w:pPr>
      <w:r>
        <w:t>After heat shock, place tubes back on ice until next step (don’t keep them here too long).</w:t>
      </w:r>
    </w:p>
    <w:p w:rsidR="003C59BF" w:rsidRDefault="003C59BF" w:rsidP="003C59BF">
      <w:pPr>
        <w:numPr>
          <w:ilvl w:val="0"/>
          <w:numId w:val="7"/>
        </w:numPr>
        <w:spacing w:before="100" w:beforeAutospacing="1" w:after="100" w:afterAutospacing="1"/>
      </w:pPr>
      <w:r>
        <w:lastRenderedPageBreak/>
        <w:t>Using aseptic technique, add 1 mL LB (no antibiotic) to each microfuge tube.</w:t>
      </w:r>
    </w:p>
    <w:p w:rsidR="003C59BF" w:rsidRDefault="003C59BF" w:rsidP="003C59BF">
      <w:pPr>
        <w:numPr>
          <w:ilvl w:val="0"/>
          <w:numId w:val="7"/>
        </w:numPr>
        <w:spacing w:before="100" w:beforeAutospacing="1" w:after="100" w:afterAutospacing="1"/>
      </w:pPr>
      <w:r>
        <w:t xml:space="preserve">Using autoclave tape, tape microfuge tubes down in shaking incubator set to 37°C. Allow cells to recover for </w:t>
      </w:r>
      <w:r>
        <w:rPr>
          <w:rStyle w:val="Strong"/>
          <w:rFonts w:eastAsiaTheme="majorEastAsia"/>
        </w:rPr>
        <w:t>1 hour</w:t>
      </w:r>
      <w:r>
        <w:t xml:space="preserve"> at 37°C, shaking.</w:t>
      </w:r>
    </w:p>
    <w:p w:rsidR="003C59BF" w:rsidRDefault="003C59BF" w:rsidP="003C59BF">
      <w:pPr>
        <w:numPr>
          <w:ilvl w:val="0"/>
          <w:numId w:val="7"/>
        </w:numPr>
        <w:spacing w:before="100" w:beforeAutospacing="1" w:after="100" w:afterAutospacing="1"/>
      </w:pPr>
      <w:r>
        <w:t>Place in a rack after shaking (NOT back on ice).</w:t>
      </w:r>
    </w:p>
    <w:p w:rsidR="003C59BF" w:rsidRDefault="003C59BF" w:rsidP="003C59BF">
      <w:pPr>
        <w:numPr>
          <w:ilvl w:val="0"/>
          <w:numId w:val="7"/>
        </w:numPr>
        <w:spacing w:before="100" w:beforeAutospacing="1" w:after="100" w:afterAutospacing="1"/>
      </w:pPr>
      <w:r>
        <w:t xml:space="preserve">Using aseptic technique, plate indicated </w:t>
      </w:r>
      <w:proofErr w:type="gramStart"/>
      <w:r>
        <w:t>amount</w:t>
      </w:r>
      <w:proofErr w:type="gramEnd"/>
      <w:r>
        <w:t xml:space="preserve"> of cells on appropriate antibiotic plates (LB-Carb), spreading until plates look dry. For “remaining” volume, spin tubes at max speed in benchtop centrifuge for </w:t>
      </w:r>
      <w:r>
        <w:rPr>
          <w:rStyle w:val="Strong"/>
          <w:rFonts w:eastAsiaTheme="majorEastAsia"/>
        </w:rPr>
        <w:t>30 seconds</w:t>
      </w:r>
      <w:r>
        <w:t xml:space="preserve">. Remove 800 </w:t>
      </w:r>
      <w:proofErr w:type="spellStart"/>
      <w:r>
        <w:t>uL</w:t>
      </w:r>
      <w:proofErr w:type="spellEnd"/>
      <w:r>
        <w:t xml:space="preserve"> of media. Using 200 </w:t>
      </w:r>
      <w:proofErr w:type="spellStart"/>
      <w:r>
        <w:t>uL</w:t>
      </w:r>
      <w:proofErr w:type="spellEnd"/>
      <w:r>
        <w:t xml:space="preserve"> pipette, resuspend cells at bottom of tube and plate all the remaining culture.</w:t>
      </w:r>
    </w:p>
    <w:p w:rsidR="003C59BF" w:rsidRDefault="003C59BF" w:rsidP="003C59BF">
      <w:pPr>
        <w:pStyle w:val="Heading2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Preparing Electrocompetent LVS</w:t>
      </w:r>
    </w:p>
    <w:p w:rsidR="003C59BF" w:rsidRDefault="003C59BF" w:rsidP="003C59B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From Allelic exchange </w:t>
      </w:r>
      <w:proofErr w:type="gramStart"/>
      <w:r>
        <w:rPr>
          <w:rFonts w:asciiTheme="minorHAnsi" w:hAnsiTheme="minorHAnsi" w:cstheme="minorHAnsi"/>
        </w:rPr>
        <w:t>protocol;</w:t>
      </w:r>
      <w:proofErr w:type="gramEnd"/>
      <w:r>
        <w:rPr>
          <w:rFonts w:asciiTheme="minorHAnsi" w:hAnsiTheme="minorHAnsi" w:cstheme="minorHAnsi"/>
        </w:rPr>
        <w:t xml:space="preserve"> Edited by Hannah </w:t>
      </w:r>
      <w:proofErr w:type="spellStart"/>
      <w:r>
        <w:rPr>
          <w:rFonts w:asciiTheme="minorHAnsi" w:hAnsiTheme="minorHAnsi" w:cstheme="minorHAnsi"/>
        </w:rPr>
        <w:t>Trautmann</w:t>
      </w:r>
      <w:proofErr w:type="spellEnd"/>
    </w:p>
    <w:p w:rsidR="003C59BF" w:rsidRDefault="003C59BF" w:rsidP="003C59BF">
      <w:pPr>
        <w:pStyle w:val="ListParagraph"/>
        <w:numPr>
          <w:ilvl w:val="0"/>
          <w:numId w:val="8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Scrape up entire plate of cells into 400 </w:t>
      </w:r>
      <w:proofErr w:type="spellStart"/>
      <w:r>
        <w:rPr>
          <w:rFonts w:ascii="Calibri" w:eastAsia="Calibri" w:hAnsi="Calibri" w:cs="Calibri"/>
        </w:rPr>
        <w:t>uL</w:t>
      </w:r>
      <w:proofErr w:type="spellEnd"/>
      <w:r>
        <w:rPr>
          <w:rFonts w:ascii="Calibri" w:eastAsia="Calibri" w:hAnsi="Calibri" w:cs="Calibri"/>
        </w:rPr>
        <w:t xml:space="preserve"> of sterile 10% sucrose and resuspend (alternately, cells can be grown to mid-log in MHB)</w:t>
      </w:r>
    </w:p>
    <w:p w:rsidR="003C59BF" w:rsidRDefault="003C59BF" w:rsidP="003C59BF">
      <w:pPr>
        <w:pStyle w:val="ListParagraph"/>
        <w:numPr>
          <w:ilvl w:val="0"/>
          <w:numId w:val="8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Add 1.1 mL of 10% sucrose to a final volume of 1.5 </w:t>
      </w:r>
      <w:proofErr w:type="gramStart"/>
      <w:r>
        <w:rPr>
          <w:rFonts w:ascii="Calibri" w:eastAsia="Calibri" w:hAnsi="Calibri" w:cs="Calibri"/>
        </w:rPr>
        <w:t>mL</w:t>
      </w:r>
      <w:proofErr w:type="gramEnd"/>
    </w:p>
    <w:p w:rsidR="003C59BF" w:rsidRDefault="003C59BF" w:rsidP="003C59BF">
      <w:pPr>
        <w:pStyle w:val="ListParagraph"/>
        <w:numPr>
          <w:ilvl w:val="0"/>
          <w:numId w:val="8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Spin for 3 minutes at 10,000 rpm</w:t>
      </w:r>
    </w:p>
    <w:p w:rsidR="003C59BF" w:rsidRDefault="003C59BF" w:rsidP="003C59BF">
      <w:pPr>
        <w:pStyle w:val="ListParagraph"/>
        <w:numPr>
          <w:ilvl w:val="0"/>
          <w:numId w:val="8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remove supernatant, throw out, and resuspend in fresh 1 mL 10% </w:t>
      </w:r>
      <w:proofErr w:type="gramStart"/>
      <w:r>
        <w:rPr>
          <w:rFonts w:ascii="Calibri" w:eastAsia="Calibri" w:hAnsi="Calibri" w:cs="Calibri"/>
        </w:rPr>
        <w:t>sucrose</w:t>
      </w:r>
      <w:proofErr w:type="gramEnd"/>
    </w:p>
    <w:p w:rsidR="003C59BF" w:rsidRDefault="003C59BF" w:rsidP="003C59BF">
      <w:pPr>
        <w:pStyle w:val="ListParagraph"/>
        <w:numPr>
          <w:ilvl w:val="0"/>
          <w:numId w:val="8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Repeat 3x-5x in 10% sucrose (I repeated this a total of three times.)</w:t>
      </w:r>
    </w:p>
    <w:p w:rsidR="003C59BF" w:rsidRDefault="003C59BF" w:rsidP="003C59BF">
      <w:pPr>
        <w:pStyle w:val="ListParagraph"/>
        <w:numPr>
          <w:ilvl w:val="0"/>
          <w:numId w:val="8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After final spin, remove all supernatant.</w:t>
      </w:r>
    </w:p>
    <w:p w:rsidR="003C59BF" w:rsidRDefault="003C59BF" w:rsidP="003C59BF">
      <w:pPr>
        <w:pStyle w:val="ListParagraph"/>
        <w:numPr>
          <w:ilvl w:val="0"/>
          <w:numId w:val="8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Resuspend cells in 10% sucrose at high density (corresponding to ~1x10</w:t>
      </w:r>
      <w:r>
        <w:rPr>
          <w:rFonts w:ascii="Calibri" w:eastAsia="Calibri" w:hAnsi="Calibri" w:cs="Calibri"/>
          <w:vertAlign w:val="superscript"/>
        </w:rPr>
        <w:t>11</w:t>
      </w:r>
      <w:r>
        <w:rPr>
          <w:rFonts w:ascii="Calibri" w:eastAsia="Calibri" w:hAnsi="Calibri" w:cs="Calibri"/>
        </w:rPr>
        <w:t xml:space="preserve"> cells /mL); by slowly adding 110 </w:t>
      </w:r>
      <w:proofErr w:type="spellStart"/>
      <w:r>
        <w:rPr>
          <w:rFonts w:ascii="Calibri" w:eastAsia="Calibri" w:hAnsi="Calibri" w:cs="Calibri"/>
        </w:rPr>
        <w:t>uL</w:t>
      </w:r>
      <w:proofErr w:type="spellEnd"/>
      <w:r>
        <w:rPr>
          <w:rFonts w:ascii="Calibri" w:eastAsia="Calibri" w:hAnsi="Calibri" w:cs="Calibri"/>
        </w:rPr>
        <w:t xml:space="preserve"> at a time. It should be about equal amounts of cells as sucrose. (I added 110 </w:t>
      </w:r>
      <w:proofErr w:type="spellStart"/>
      <w:r>
        <w:rPr>
          <w:rFonts w:ascii="Calibri" w:eastAsia="Calibri" w:hAnsi="Calibri" w:cs="Calibri"/>
        </w:rPr>
        <w:t>uL</w:t>
      </w:r>
      <w:proofErr w:type="spellEnd"/>
      <w:r>
        <w:rPr>
          <w:rFonts w:ascii="Calibri" w:eastAsia="Calibri" w:hAnsi="Calibri" w:cs="Calibri"/>
        </w:rPr>
        <w:t xml:space="preserve"> twice, so there should be four electroporations.)</w:t>
      </w:r>
    </w:p>
    <w:p w:rsidR="003C59BF" w:rsidRDefault="003C59BF" w:rsidP="003C59BF">
      <w:pPr>
        <w:pStyle w:val="ListParagraph"/>
        <w:numPr>
          <w:ilvl w:val="0"/>
          <w:numId w:val="8"/>
        </w:numPr>
        <w:rPr>
          <w:rFonts w:ascii="Calibri" w:eastAsia="Calibri" w:hAnsi="Calibri" w:cs="Calibri"/>
        </w:rPr>
      </w:pPr>
      <w:bookmarkStart w:id="0" w:name="_heading=h.gjdgxs"/>
      <w:bookmarkEnd w:id="0"/>
      <w:r>
        <w:rPr>
          <w:rFonts w:ascii="Calibri" w:eastAsia="Calibri" w:hAnsi="Calibri" w:cs="Calibri"/>
        </w:rPr>
        <w:t xml:space="preserve">For any extra EC cells, aliquot ~110 </w:t>
      </w:r>
      <w:proofErr w:type="spellStart"/>
      <w:r>
        <w:rPr>
          <w:rFonts w:ascii="Calibri" w:eastAsia="Calibri" w:hAnsi="Calibri" w:cs="Calibri"/>
        </w:rPr>
        <w:t>μL</w:t>
      </w:r>
      <w:proofErr w:type="spellEnd"/>
      <w:r>
        <w:rPr>
          <w:rFonts w:ascii="Calibri" w:eastAsia="Calibri" w:hAnsi="Calibri" w:cs="Calibri"/>
        </w:rPr>
        <w:t xml:space="preserve"> / sterile tube (enough for 2 electroporations) and freeze at -80°</w:t>
      </w:r>
      <w:proofErr w:type="gramStart"/>
      <w:r>
        <w:rPr>
          <w:rFonts w:ascii="Calibri" w:eastAsia="Calibri" w:hAnsi="Calibri" w:cs="Calibri"/>
        </w:rPr>
        <w:t>C</w:t>
      </w:r>
      <w:proofErr w:type="gramEnd"/>
    </w:p>
    <w:p w:rsidR="001A0238" w:rsidRDefault="001A0238"/>
    <w:sectPr w:rsidR="001A02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C3F48"/>
    <w:multiLevelType w:val="multilevel"/>
    <w:tmpl w:val="D4647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E32FBF"/>
    <w:multiLevelType w:val="multilevel"/>
    <w:tmpl w:val="E0084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2324DA"/>
    <w:multiLevelType w:val="multilevel"/>
    <w:tmpl w:val="DD664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AF5615"/>
    <w:multiLevelType w:val="multilevel"/>
    <w:tmpl w:val="75467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F93F61"/>
    <w:multiLevelType w:val="multilevel"/>
    <w:tmpl w:val="67D6F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256ACD"/>
    <w:multiLevelType w:val="multilevel"/>
    <w:tmpl w:val="BEF07C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E32816"/>
    <w:multiLevelType w:val="multilevel"/>
    <w:tmpl w:val="3008E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CC2495"/>
    <w:multiLevelType w:val="multilevel"/>
    <w:tmpl w:val="6728C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271158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688680722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05981563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79318237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885484447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61683242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883061919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7030224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9BF"/>
    <w:rsid w:val="001A0238"/>
    <w:rsid w:val="001E7D6E"/>
    <w:rsid w:val="003C59BF"/>
    <w:rsid w:val="00FC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DEDA812-3D82-2648-AEE2-26DFCC8EE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9BF"/>
    <w:rPr>
      <w:rFonts w:ascii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59BF"/>
    <w:pPr>
      <w:keepNext/>
      <w:keepLines/>
      <w:spacing w:before="480" w:line="276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59BF"/>
    <w:pPr>
      <w:keepNext/>
      <w:keepLines/>
      <w:spacing w:before="200" w:line="276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4472C4" w:themeColor="accen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59BF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59BF"/>
    <w:rPr>
      <w:rFonts w:asciiTheme="majorHAnsi" w:eastAsiaTheme="majorEastAsia" w:hAnsiTheme="majorHAnsi" w:cstheme="majorBidi"/>
      <w:b/>
      <w:bCs/>
      <w:color w:val="4472C4" w:themeColor="accent1"/>
      <w:kern w:val="0"/>
      <w:szCs w:val="26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C59BF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3C59BF"/>
    <w:pPr>
      <w:spacing w:after="200" w:line="276" w:lineRule="auto"/>
      <w:ind w:left="720"/>
      <w:contextualSpacing/>
      <w:jc w:val="both"/>
    </w:pPr>
    <w:rPr>
      <w:rFonts w:ascii="Arial" w:eastAsia="Arial" w:hAnsi="Arial" w:cs="Arial"/>
      <w:sz w:val="22"/>
      <w:szCs w:val="22"/>
    </w:rPr>
  </w:style>
  <w:style w:type="table" w:styleId="TableGrid">
    <w:name w:val="Table Grid"/>
    <w:basedOn w:val="TableNormal"/>
    <w:uiPriority w:val="59"/>
    <w:rsid w:val="003C59BF"/>
    <w:rPr>
      <w:rFonts w:ascii="Times New Roman" w:hAnsi="Times New Roman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3C59BF"/>
    <w:rPr>
      <w:rFonts w:ascii="Times New Roman" w:hAnsi="Times New Roman" w:cs="Times New Roman"/>
      <w:kern w:val="0"/>
      <w14:ligatures w14:val="none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rong">
    <w:name w:val="Strong"/>
    <w:basedOn w:val="DefaultParagraphFont"/>
    <w:uiPriority w:val="22"/>
    <w:qFormat/>
    <w:rsid w:val="003C59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1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1192</Words>
  <Characters>6799</Characters>
  <Application>Microsoft Office Word</Application>
  <DocSecurity>0</DocSecurity>
  <Lines>56</Lines>
  <Paragraphs>15</Paragraphs>
  <ScaleCrop>false</ScaleCrop>
  <Company/>
  <LinksUpToDate>false</LinksUpToDate>
  <CharactersWithSpaces>7976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Ramsey</dc:creator>
  <cp:keywords/>
  <dc:description/>
  <cp:lastModifiedBy>Kathryn Ramsey</cp:lastModifiedBy>
  <cp:revision>1</cp:revision>
  <dcterms:created xsi:type="dcterms:W3CDTF">2023-09-22T17:11:00Z</dcterms:created>
  <dcterms:modified xsi:type="dcterms:W3CDTF">2023-09-22T17:12:00Z</dcterms:modified>
</cp:coreProperties>
</file>