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5DC753" w14:textId="77777777" w:rsidR="004F7529" w:rsidRDefault="001305B0" w:rsidP="00E938B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Investigating regulation of ribosomal protein production in</w:t>
      </w:r>
    </w:p>
    <w:p w14:paraId="6ED29536" w14:textId="10B46471" w:rsidR="00A329A6" w:rsidRPr="00E938B2" w:rsidRDefault="001305B0" w:rsidP="00E938B2">
      <w:pPr>
        <w:jc w:val="center"/>
        <w:rPr>
          <w:b/>
          <w:bCs/>
          <w:sz w:val="28"/>
          <w:szCs w:val="28"/>
        </w:rPr>
      </w:pPr>
      <w:proofErr w:type="spellStart"/>
      <w:r w:rsidRPr="001305B0">
        <w:rPr>
          <w:b/>
          <w:bCs/>
          <w:i/>
          <w:iCs/>
          <w:sz w:val="28"/>
          <w:szCs w:val="28"/>
        </w:rPr>
        <w:t>Francisella</w:t>
      </w:r>
      <w:proofErr w:type="spellEnd"/>
      <w:r w:rsidRPr="001305B0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1305B0">
        <w:rPr>
          <w:b/>
          <w:bCs/>
          <w:i/>
          <w:iCs/>
          <w:sz w:val="28"/>
          <w:szCs w:val="28"/>
        </w:rPr>
        <w:t>tularensis</w:t>
      </w:r>
      <w:proofErr w:type="spellEnd"/>
    </w:p>
    <w:p w14:paraId="2BDBA245" w14:textId="02BD9D4E" w:rsidR="00A329A6" w:rsidRDefault="00A329A6"/>
    <w:p w14:paraId="265193EE" w14:textId="216F200E" w:rsidR="00A329A6" w:rsidRPr="00E938B2" w:rsidRDefault="00A329A6" w:rsidP="00E938B2">
      <w:pPr>
        <w:rPr>
          <w:b/>
          <w:bCs/>
          <w:u w:val="single"/>
        </w:rPr>
      </w:pPr>
      <w:r w:rsidRPr="00E938B2">
        <w:rPr>
          <w:b/>
          <w:bCs/>
          <w:u w:val="single"/>
        </w:rPr>
        <w:t>Technical Goals:</w:t>
      </w:r>
    </w:p>
    <w:p w14:paraId="67946601" w14:textId="77777777" w:rsidR="00E938B2" w:rsidRDefault="00E938B2">
      <w:pPr>
        <w:rPr>
          <w:sz w:val="22"/>
          <w:szCs w:val="22"/>
        </w:rPr>
        <w:sectPr w:rsidR="00E938B2">
          <w:headerReference w:type="default" r:id="rId6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F2D87FC" w14:textId="673B435E" w:rsidR="00A329A6" w:rsidRPr="00E938B2" w:rsidRDefault="00A329A6">
      <w:pPr>
        <w:rPr>
          <w:sz w:val="22"/>
          <w:szCs w:val="22"/>
        </w:rPr>
      </w:pPr>
      <w:r w:rsidRPr="00E938B2">
        <w:rPr>
          <w:sz w:val="22"/>
          <w:szCs w:val="22"/>
        </w:rPr>
        <w:t>Accurate pipetting</w:t>
      </w:r>
    </w:p>
    <w:p w14:paraId="7B814DEF" w14:textId="02C8BCC1" w:rsidR="00A329A6" w:rsidRDefault="00A329A6">
      <w:pPr>
        <w:rPr>
          <w:sz w:val="22"/>
          <w:szCs w:val="22"/>
        </w:rPr>
      </w:pPr>
      <w:r w:rsidRPr="00E938B2">
        <w:rPr>
          <w:sz w:val="22"/>
          <w:szCs w:val="22"/>
        </w:rPr>
        <w:t>Aseptic technique</w:t>
      </w:r>
    </w:p>
    <w:p w14:paraId="69FDFCD2" w14:textId="19D9D55B" w:rsidR="00E938B2" w:rsidRPr="00E938B2" w:rsidRDefault="00E938B2">
      <w:pPr>
        <w:rPr>
          <w:sz w:val="22"/>
          <w:szCs w:val="22"/>
        </w:rPr>
      </w:pPr>
      <w:r>
        <w:rPr>
          <w:sz w:val="22"/>
          <w:szCs w:val="22"/>
        </w:rPr>
        <w:t>Laboratory tasks management</w:t>
      </w:r>
    </w:p>
    <w:p w14:paraId="3E2B4061" w14:textId="707D05DF" w:rsidR="00A329A6" w:rsidRPr="00E938B2" w:rsidRDefault="00A329A6">
      <w:pPr>
        <w:rPr>
          <w:sz w:val="22"/>
          <w:szCs w:val="22"/>
        </w:rPr>
      </w:pPr>
      <w:r w:rsidRPr="00E938B2">
        <w:rPr>
          <w:sz w:val="22"/>
          <w:szCs w:val="22"/>
        </w:rPr>
        <w:t>Laboratory notebook management</w:t>
      </w:r>
    </w:p>
    <w:p w14:paraId="075739F8" w14:textId="11E674AA" w:rsidR="00A329A6" w:rsidRPr="00E938B2" w:rsidRDefault="00A329A6">
      <w:pPr>
        <w:rPr>
          <w:sz w:val="22"/>
          <w:szCs w:val="22"/>
        </w:rPr>
      </w:pPr>
      <w:r w:rsidRPr="00E938B2">
        <w:rPr>
          <w:sz w:val="22"/>
          <w:szCs w:val="22"/>
        </w:rPr>
        <w:t>Interpreting results</w:t>
      </w:r>
    </w:p>
    <w:p w14:paraId="51165175" w14:textId="3F1AA396" w:rsidR="00A329A6" w:rsidRPr="00E938B2" w:rsidRDefault="00A329A6">
      <w:pPr>
        <w:rPr>
          <w:sz w:val="22"/>
          <w:szCs w:val="22"/>
        </w:rPr>
      </w:pPr>
      <w:r w:rsidRPr="00E938B2">
        <w:rPr>
          <w:sz w:val="22"/>
          <w:szCs w:val="22"/>
        </w:rPr>
        <w:t>Presenting results</w:t>
      </w:r>
    </w:p>
    <w:p w14:paraId="7C029658" w14:textId="20182DFE" w:rsidR="00A329A6" w:rsidRPr="00E938B2" w:rsidRDefault="00333F2A">
      <w:pPr>
        <w:rPr>
          <w:sz w:val="22"/>
          <w:szCs w:val="22"/>
        </w:rPr>
      </w:pPr>
      <w:r w:rsidRPr="00E938B2">
        <w:rPr>
          <w:sz w:val="22"/>
          <w:szCs w:val="22"/>
        </w:rPr>
        <w:t>Use of spectrophotometer</w:t>
      </w:r>
    </w:p>
    <w:p w14:paraId="1338435D" w14:textId="1F3F701A" w:rsidR="00A329A6" w:rsidRDefault="004F7529">
      <w:pPr>
        <w:rPr>
          <w:sz w:val="22"/>
          <w:szCs w:val="22"/>
        </w:rPr>
      </w:pPr>
      <w:r>
        <w:rPr>
          <w:sz w:val="22"/>
          <w:szCs w:val="22"/>
        </w:rPr>
        <w:t>Beta-galactosidase assay</w:t>
      </w:r>
    </w:p>
    <w:p w14:paraId="5E09E494" w14:textId="77777777" w:rsidR="004F7529" w:rsidRDefault="00E938B2">
      <w:pPr>
        <w:rPr>
          <w:sz w:val="22"/>
          <w:szCs w:val="22"/>
        </w:rPr>
      </w:pPr>
      <w:r>
        <w:rPr>
          <w:sz w:val="22"/>
          <w:szCs w:val="22"/>
        </w:rPr>
        <w:t>Microbiological media preparation</w:t>
      </w:r>
    </w:p>
    <w:p w14:paraId="69FC8F99" w14:textId="790AE6D3" w:rsidR="004F7529" w:rsidRDefault="004F7529">
      <w:pPr>
        <w:rPr>
          <w:sz w:val="22"/>
          <w:szCs w:val="22"/>
        </w:rPr>
      </w:pPr>
      <w:r>
        <w:rPr>
          <w:sz w:val="22"/>
          <w:szCs w:val="22"/>
        </w:rPr>
        <w:t>PCR</w:t>
      </w:r>
    </w:p>
    <w:p w14:paraId="32461375" w14:textId="5A46961E" w:rsidR="004F7529" w:rsidRDefault="004F7529">
      <w:pPr>
        <w:rPr>
          <w:sz w:val="22"/>
          <w:szCs w:val="22"/>
        </w:rPr>
      </w:pPr>
      <w:r>
        <w:rPr>
          <w:sz w:val="22"/>
          <w:szCs w:val="22"/>
        </w:rPr>
        <w:t>Agarose gel electrophoresis</w:t>
      </w:r>
    </w:p>
    <w:p w14:paraId="60F9E187" w14:textId="390EABDC" w:rsidR="004F7529" w:rsidRDefault="004F7529">
      <w:pPr>
        <w:rPr>
          <w:sz w:val="22"/>
          <w:szCs w:val="22"/>
        </w:rPr>
      </w:pPr>
      <w:r>
        <w:rPr>
          <w:sz w:val="22"/>
          <w:szCs w:val="22"/>
        </w:rPr>
        <w:t>Plasmid cloning</w:t>
      </w:r>
    </w:p>
    <w:p w14:paraId="5F4B5140" w14:textId="3C92E233" w:rsidR="004F7529" w:rsidRDefault="004F7529">
      <w:pPr>
        <w:rPr>
          <w:sz w:val="22"/>
          <w:szCs w:val="22"/>
        </w:rPr>
        <w:sectPr w:rsidR="004F7529" w:rsidSect="00E938B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282685B6" w14:textId="431A340B" w:rsidR="00A329A6" w:rsidRPr="00E938B2" w:rsidRDefault="00A329A6">
      <w:pPr>
        <w:rPr>
          <w:sz w:val="22"/>
          <w:szCs w:val="22"/>
        </w:rPr>
      </w:pPr>
    </w:p>
    <w:p w14:paraId="608BCD63" w14:textId="4A2E6B08" w:rsidR="00A329A6" w:rsidRPr="00E938B2" w:rsidRDefault="00A329A6">
      <w:pPr>
        <w:rPr>
          <w:b/>
          <w:bCs/>
          <w:u w:val="single"/>
        </w:rPr>
      </w:pPr>
      <w:r w:rsidRPr="00E938B2">
        <w:rPr>
          <w:b/>
          <w:bCs/>
          <w:u w:val="single"/>
        </w:rPr>
        <w:t>Scientific Goals:</w:t>
      </w:r>
    </w:p>
    <w:p w14:paraId="1EE698AA" w14:textId="08C2D09E" w:rsidR="004F7529" w:rsidRPr="00F73B09" w:rsidRDefault="004F7529" w:rsidP="00E938B2">
      <w:pPr>
        <w:rPr>
          <w:sz w:val="22"/>
          <w:szCs w:val="22"/>
        </w:rPr>
      </w:pPr>
      <w:r>
        <w:rPr>
          <w:sz w:val="22"/>
          <w:szCs w:val="22"/>
        </w:rPr>
        <w:t xml:space="preserve">Determine if iron concentration influences transcription of </w:t>
      </w:r>
      <w:r w:rsidRPr="004F7529">
        <w:rPr>
          <w:i/>
          <w:iCs/>
          <w:sz w:val="22"/>
          <w:szCs w:val="22"/>
        </w:rPr>
        <w:t>rpsU3</w:t>
      </w:r>
      <w:r w:rsidR="00F73B09">
        <w:rPr>
          <w:i/>
          <w:iCs/>
          <w:sz w:val="22"/>
          <w:szCs w:val="22"/>
        </w:rPr>
        <w:t xml:space="preserve"> </w:t>
      </w:r>
      <w:r w:rsidR="00F73B09">
        <w:rPr>
          <w:sz w:val="22"/>
          <w:szCs w:val="22"/>
        </w:rPr>
        <w:t>(gene encoding bS21-3)</w:t>
      </w:r>
    </w:p>
    <w:p w14:paraId="1EC025CC" w14:textId="41AB35F1" w:rsidR="004F7529" w:rsidRDefault="004F7529" w:rsidP="00E938B2">
      <w:pPr>
        <w:rPr>
          <w:sz w:val="22"/>
          <w:szCs w:val="22"/>
        </w:rPr>
      </w:pPr>
      <w:r>
        <w:rPr>
          <w:sz w:val="22"/>
          <w:szCs w:val="22"/>
        </w:rPr>
        <w:t xml:space="preserve">Assist in cloning plasmid to complement </w:t>
      </w:r>
      <w:proofErr w:type="spellStart"/>
      <w:r w:rsidRPr="004F7529">
        <w:rPr>
          <w:i/>
          <w:iCs/>
          <w:sz w:val="22"/>
          <w:szCs w:val="22"/>
        </w:rPr>
        <w:t>fupA</w:t>
      </w:r>
      <w:proofErr w:type="spellEnd"/>
      <w:r w:rsidRPr="004F7529">
        <w:rPr>
          <w:i/>
          <w:iCs/>
          <w:sz w:val="22"/>
          <w:szCs w:val="22"/>
        </w:rPr>
        <w:t>/B</w:t>
      </w:r>
      <w:r>
        <w:rPr>
          <w:sz w:val="22"/>
          <w:szCs w:val="22"/>
        </w:rPr>
        <w:t xml:space="preserve"> deletion (pF-</w:t>
      </w:r>
      <w:proofErr w:type="spellStart"/>
      <w:r>
        <w:rPr>
          <w:sz w:val="22"/>
          <w:szCs w:val="22"/>
        </w:rPr>
        <w:t>nat</w:t>
      </w:r>
      <w:proofErr w:type="spellEnd"/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fupAB</w:t>
      </w:r>
      <w:proofErr w:type="spellEnd"/>
      <w:r>
        <w:rPr>
          <w:sz w:val="22"/>
          <w:szCs w:val="22"/>
        </w:rPr>
        <w:t>)</w:t>
      </w:r>
    </w:p>
    <w:p w14:paraId="79BB66FF" w14:textId="35F26D25" w:rsidR="004F7529" w:rsidRDefault="004F7529" w:rsidP="00E938B2">
      <w:pPr>
        <w:rPr>
          <w:sz w:val="22"/>
          <w:szCs w:val="22"/>
        </w:rPr>
      </w:pPr>
      <w:r>
        <w:rPr>
          <w:sz w:val="22"/>
          <w:szCs w:val="22"/>
        </w:rPr>
        <w:t>Determine if pF-</w:t>
      </w:r>
      <w:proofErr w:type="spellStart"/>
      <w:r>
        <w:rPr>
          <w:sz w:val="22"/>
          <w:szCs w:val="22"/>
        </w:rPr>
        <w:t>nat</w:t>
      </w:r>
      <w:proofErr w:type="spellEnd"/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fupAB</w:t>
      </w:r>
      <w:proofErr w:type="spellEnd"/>
      <w:r>
        <w:rPr>
          <w:sz w:val="22"/>
          <w:szCs w:val="22"/>
        </w:rPr>
        <w:t xml:space="preserve"> can complement </w:t>
      </w:r>
      <w:proofErr w:type="spellStart"/>
      <w:r w:rsidRPr="004F7529">
        <w:rPr>
          <w:i/>
          <w:iCs/>
          <w:sz w:val="22"/>
          <w:szCs w:val="22"/>
        </w:rPr>
        <w:t>fupA</w:t>
      </w:r>
      <w:proofErr w:type="spellEnd"/>
      <w:r w:rsidRPr="004F7529">
        <w:rPr>
          <w:i/>
          <w:iCs/>
          <w:sz w:val="22"/>
          <w:szCs w:val="22"/>
        </w:rPr>
        <w:t>/B</w:t>
      </w:r>
      <w:r>
        <w:rPr>
          <w:sz w:val="22"/>
          <w:szCs w:val="22"/>
        </w:rPr>
        <w:t xml:space="preserve"> transposon mutant</w:t>
      </w:r>
    </w:p>
    <w:p w14:paraId="3052015B" w14:textId="7FB6BB75" w:rsidR="00EE4A00" w:rsidRDefault="00EE4A00" w:rsidP="00E938B2">
      <w:pPr>
        <w:rPr>
          <w:sz w:val="22"/>
          <w:szCs w:val="22"/>
        </w:rPr>
      </w:pPr>
      <w:r>
        <w:rPr>
          <w:sz w:val="22"/>
          <w:szCs w:val="22"/>
        </w:rPr>
        <w:t>Additional goals dependent on results and progress</w:t>
      </w:r>
    </w:p>
    <w:p w14:paraId="048B819E" w14:textId="709A0409" w:rsidR="00A329A6" w:rsidRPr="00E938B2" w:rsidRDefault="00A329A6" w:rsidP="00E938B2">
      <w:pPr>
        <w:rPr>
          <w:sz w:val="22"/>
          <w:szCs w:val="22"/>
        </w:rPr>
      </w:pPr>
    </w:p>
    <w:p w14:paraId="5701E0E0" w14:textId="4FDFD1CF" w:rsidR="00A329A6" w:rsidRPr="00E938B2" w:rsidRDefault="00A329A6">
      <w:pPr>
        <w:rPr>
          <w:b/>
          <w:bCs/>
          <w:u w:val="single"/>
        </w:rPr>
      </w:pPr>
      <w:r w:rsidRPr="00E938B2">
        <w:rPr>
          <w:b/>
          <w:bCs/>
          <w:u w:val="single"/>
        </w:rPr>
        <w:t>Background</w:t>
      </w:r>
      <w:r w:rsidR="00E938B2" w:rsidRPr="00E938B2">
        <w:rPr>
          <w:b/>
          <w:bCs/>
          <w:u w:val="single"/>
        </w:rPr>
        <w:t xml:space="preserve"> Reading</w:t>
      </w:r>
      <w:r w:rsidRPr="00E938B2">
        <w:rPr>
          <w:b/>
          <w:bCs/>
          <w:u w:val="single"/>
        </w:rPr>
        <w:t>:</w:t>
      </w:r>
    </w:p>
    <w:p w14:paraId="216DED8C" w14:textId="0996EA9B" w:rsidR="00A329A6" w:rsidRPr="004D2610" w:rsidRDefault="00DE5CC5">
      <w:pPr>
        <w:rPr>
          <w:i/>
          <w:iCs/>
          <w:sz w:val="22"/>
          <w:szCs w:val="22"/>
        </w:rPr>
      </w:pPr>
      <w:r w:rsidRPr="004D2610">
        <w:rPr>
          <w:i/>
          <w:iCs/>
          <w:sz w:val="22"/>
          <w:szCs w:val="22"/>
        </w:rPr>
        <w:t>Translation initiation:</w:t>
      </w:r>
    </w:p>
    <w:p w14:paraId="4BBD3DA8" w14:textId="520D53E0" w:rsidR="00306832" w:rsidRPr="004D2610" w:rsidRDefault="00306832" w:rsidP="00306832">
      <w:pPr>
        <w:rPr>
          <w:sz w:val="22"/>
          <w:szCs w:val="22"/>
        </w:rPr>
      </w:pPr>
      <w:r w:rsidRPr="004D2610">
        <w:rPr>
          <w:rStyle w:val="csl-right-inline"/>
          <w:sz w:val="22"/>
          <w:szCs w:val="22"/>
        </w:rPr>
        <w:t xml:space="preserve">Duval, M., Simonetti, A., </w:t>
      </w:r>
      <w:proofErr w:type="spellStart"/>
      <w:r w:rsidRPr="004D2610">
        <w:rPr>
          <w:rStyle w:val="csl-right-inline"/>
          <w:sz w:val="22"/>
          <w:szCs w:val="22"/>
        </w:rPr>
        <w:t>Caldelari</w:t>
      </w:r>
      <w:proofErr w:type="spellEnd"/>
      <w:r w:rsidRPr="004D2610">
        <w:rPr>
          <w:rStyle w:val="csl-right-inline"/>
          <w:sz w:val="22"/>
          <w:szCs w:val="22"/>
        </w:rPr>
        <w:t xml:space="preserve">, I. &amp; </w:t>
      </w:r>
      <w:proofErr w:type="spellStart"/>
      <w:r w:rsidRPr="004D2610">
        <w:rPr>
          <w:rStyle w:val="csl-right-inline"/>
          <w:sz w:val="22"/>
          <w:szCs w:val="22"/>
        </w:rPr>
        <w:t>Marzi</w:t>
      </w:r>
      <w:proofErr w:type="spellEnd"/>
      <w:r w:rsidRPr="004D2610">
        <w:rPr>
          <w:rStyle w:val="csl-right-inline"/>
          <w:sz w:val="22"/>
          <w:szCs w:val="22"/>
        </w:rPr>
        <w:t xml:space="preserve">, S. Multiple ways to regulate translation initiation in bacteria: Mechanisms, regulatory circuits, dynamics. </w:t>
      </w:r>
      <w:proofErr w:type="spellStart"/>
      <w:r w:rsidRPr="004D2610">
        <w:rPr>
          <w:rStyle w:val="csl-right-inline"/>
          <w:i/>
          <w:iCs/>
          <w:sz w:val="22"/>
          <w:szCs w:val="22"/>
        </w:rPr>
        <w:t>Biochimie</w:t>
      </w:r>
      <w:proofErr w:type="spellEnd"/>
      <w:r w:rsidRPr="004D2610">
        <w:rPr>
          <w:rStyle w:val="csl-right-inline"/>
          <w:sz w:val="22"/>
          <w:szCs w:val="22"/>
        </w:rPr>
        <w:t xml:space="preserve"> </w:t>
      </w:r>
      <w:r w:rsidRPr="004D2610">
        <w:rPr>
          <w:rStyle w:val="csl-right-inline"/>
          <w:b/>
          <w:bCs/>
          <w:sz w:val="22"/>
          <w:szCs w:val="22"/>
        </w:rPr>
        <w:t>114</w:t>
      </w:r>
      <w:r w:rsidRPr="004D2610">
        <w:rPr>
          <w:rStyle w:val="csl-right-inline"/>
          <w:sz w:val="22"/>
          <w:szCs w:val="22"/>
        </w:rPr>
        <w:t>, 18–29 (2015).</w:t>
      </w:r>
      <w:r w:rsidRPr="004D2610">
        <w:rPr>
          <w:sz w:val="22"/>
          <w:szCs w:val="22"/>
        </w:rPr>
        <w:t xml:space="preserve"> </w:t>
      </w:r>
    </w:p>
    <w:p w14:paraId="34916D64" w14:textId="105432A1" w:rsidR="00A329A6" w:rsidRPr="004D2610" w:rsidRDefault="00A329A6" w:rsidP="00A329A6">
      <w:pPr>
        <w:rPr>
          <w:sz w:val="22"/>
          <w:szCs w:val="22"/>
        </w:rPr>
      </w:pPr>
    </w:p>
    <w:p w14:paraId="09270F93" w14:textId="1BF1412D" w:rsidR="008241A5" w:rsidRPr="004D2610" w:rsidRDefault="008241A5" w:rsidP="00A329A6">
      <w:pPr>
        <w:rPr>
          <w:sz w:val="22"/>
          <w:szCs w:val="22"/>
        </w:rPr>
      </w:pPr>
      <w:r w:rsidRPr="004D2610">
        <w:rPr>
          <w:i/>
          <w:iCs/>
          <w:sz w:val="22"/>
          <w:szCs w:val="22"/>
        </w:rPr>
        <w:t>Iron and virulence in</w:t>
      </w:r>
      <w:r w:rsidRPr="004D2610">
        <w:rPr>
          <w:sz w:val="22"/>
          <w:szCs w:val="22"/>
        </w:rPr>
        <w:t xml:space="preserve"> </w:t>
      </w:r>
      <w:proofErr w:type="spellStart"/>
      <w:r w:rsidRPr="004D2610">
        <w:rPr>
          <w:sz w:val="22"/>
          <w:szCs w:val="22"/>
        </w:rPr>
        <w:t>Francisella</w:t>
      </w:r>
      <w:proofErr w:type="spellEnd"/>
      <w:r w:rsidRPr="004D2610">
        <w:rPr>
          <w:sz w:val="22"/>
          <w:szCs w:val="22"/>
        </w:rPr>
        <w:t xml:space="preserve"> </w:t>
      </w:r>
      <w:proofErr w:type="spellStart"/>
      <w:r w:rsidRPr="004D2610">
        <w:rPr>
          <w:sz w:val="22"/>
          <w:szCs w:val="22"/>
        </w:rPr>
        <w:t>tularensis</w:t>
      </w:r>
      <w:proofErr w:type="spellEnd"/>
      <w:r w:rsidRPr="004D2610">
        <w:rPr>
          <w:sz w:val="22"/>
          <w:szCs w:val="22"/>
        </w:rPr>
        <w:t>:</w:t>
      </w:r>
    </w:p>
    <w:p w14:paraId="292CCFD2" w14:textId="060DF53E" w:rsidR="008241A5" w:rsidRPr="008241A5" w:rsidRDefault="008241A5" w:rsidP="008241A5">
      <w:pPr>
        <w:rPr>
          <w:sz w:val="22"/>
          <w:szCs w:val="22"/>
        </w:rPr>
      </w:pPr>
      <w:r w:rsidRPr="008241A5">
        <w:rPr>
          <w:sz w:val="22"/>
          <w:szCs w:val="22"/>
        </w:rPr>
        <w:t xml:space="preserve">Ramakrishnan, G. Iron and Virulence in </w:t>
      </w:r>
      <w:proofErr w:type="spellStart"/>
      <w:r w:rsidRPr="008241A5">
        <w:rPr>
          <w:i/>
          <w:iCs/>
          <w:sz w:val="22"/>
          <w:szCs w:val="22"/>
        </w:rPr>
        <w:t>Francisella</w:t>
      </w:r>
      <w:proofErr w:type="spellEnd"/>
      <w:r w:rsidRPr="008241A5">
        <w:rPr>
          <w:i/>
          <w:iCs/>
          <w:sz w:val="22"/>
          <w:szCs w:val="22"/>
        </w:rPr>
        <w:t xml:space="preserve"> </w:t>
      </w:r>
      <w:proofErr w:type="spellStart"/>
      <w:r w:rsidRPr="008241A5">
        <w:rPr>
          <w:i/>
          <w:iCs/>
          <w:sz w:val="22"/>
          <w:szCs w:val="22"/>
        </w:rPr>
        <w:t>tularensis</w:t>
      </w:r>
      <w:proofErr w:type="spellEnd"/>
      <w:r w:rsidRPr="008241A5">
        <w:rPr>
          <w:sz w:val="22"/>
          <w:szCs w:val="22"/>
        </w:rPr>
        <w:t xml:space="preserve">. </w:t>
      </w:r>
      <w:r w:rsidRPr="008241A5">
        <w:rPr>
          <w:i/>
          <w:iCs/>
          <w:sz w:val="22"/>
          <w:szCs w:val="22"/>
        </w:rPr>
        <w:t>Front Cell Infect Mi</w:t>
      </w:r>
      <w:r w:rsidRPr="008241A5">
        <w:rPr>
          <w:sz w:val="22"/>
          <w:szCs w:val="22"/>
        </w:rPr>
        <w:t xml:space="preserve"> </w:t>
      </w:r>
      <w:r w:rsidRPr="008241A5">
        <w:rPr>
          <w:b/>
          <w:bCs/>
          <w:sz w:val="22"/>
          <w:szCs w:val="22"/>
        </w:rPr>
        <w:t>7</w:t>
      </w:r>
      <w:r w:rsidRPr="008241A5">
        <w:rPr>
          <w:sz w:val="22"/>
          <w:szCs w:val="22"/>
        </w:rPr>
        <w:t xml:space="preserve">, 107 (2017). </w:t>
      </w:r>
    </w:p>
    <w:p w14:paraId="372D6C97" w14:textId="77777777" w:rsidR="008241A5" w:rsidRPr="008241A5" w:rsidRDefault="008241A5" w:rsidP="008241A5">
      <w:pPr>
        <w:rPr>
          <w:sz w:val="22"/>
          <w:szCs w:val="22"/>
        </w:rPr>
      </w:pPr>
    </w:p>
    <w:p w14:paraId="7624AB1E" w14:textId="3A77166B" w:rsidR="008241A5" w:rsidRPr="004D2610" w:rsidRDefault="008241A5" w:rsidP="00A329A6">
      <w:pPr>
        <w:rPr>
          <w:i/>
          <w:iCs/>
          <w:sz w:val="22"/>
          <w:szCs w:val="22"/>
        </w:rPr>
      </w:pPr>
      <w:proofErr w:type="spellStart"/>
      <w:r w:rsidRPr="004D2610">
        <w:rPr>
          <w:i/>
          <w:iCs/>
          <w:sz w:val="22"/>
          <w:szCs w:val="22"/>
        </w:rPr>
        <w:t>fupA</w:t>
      </w:r>
      <w:proofErr w:type="spellEnd"/>
      <w:r w:rsidRPr="004D2610">
        <w:rPr>
          <w:i/>
          <w:iCs/>
          <w:sz w:val="22"/>
          <w:szCs w:val="22"/>
        </w:rPr>
        <w:t>/B</w:t>
      </w:r>
    </w:p>
    <w:p w14:paraId="0BC713AB" w14:textId="42EF306F" w:rsidR="008241A5" w:rsidRPr="008241A5" w:rsidRDefault="008241A5" w:rsidP="008241A5">
      <w:pPr>
        <w:rPr>
          <w:sz w:val="22"/>
          <w:szCs w:val="22"/>
        </w:rPr>
      </w:pPr>
      <w:r w:rsidRPr="008241A5">
        <w:rPr>
          <w:sz w:val="22"/>
          <w:szCs w:val="22"/>
        </w:rPr>
        <w:t xml:space="preserve">Sen, B., Meeker, A. &amp; Ramakrishnan, G. The </w:t>
      </w:r>
      <w:proofErr w:type="spellStart"/>
      <w:r w:rsidRPr="008241A5">
        <w:rPr>
          <w:sz w:val="22"/>
          <w:szCs w:val="22"/>
        </w:rPr>
        <w:t>fslE</w:t>
      </w:r>
      <w:proofErr w:type="spellEnd"/>
      <w:r w:rsidRPr="008241A5">
        <w:rPr>
          <w:sz w:val="22"/>
          <w:szCs w:val="22"/>
        </w:rPr>
        <w:t xml:space="preserve"> homolog, FTL_0439 (</w:t>
      </w:r>
      <w:proofErr w:type="spellStart"/>
      <w:r w:rsidRPr="008241A5">
        <w:rPr>
          <w:sz w:val="22"/>
          <w:szCs w:val="22"/>
        </w:rPr>
        <w:t>fupA</w:t>
      </w:r>
      <w:proofErr w:type="spellEnd"/>
      <w:r w:rsidRPr="008241A5">
        <w:rPr>
          <w:sz w:val="22"/>
          <w:szCs w:val="22"/>
        </w:rPr>
        <w:t xml:space="preserve">/B), mediates siderophore-dependent iron uptake in </w:t>
      </w:r>
      <w:proofErr w:type="spellStart"/>
      <w:r w:rsidRPr="008241A5">
        <w:rPr>
          <w:sz w:val="22"/>
          <w:szCs w:val="22"/>
        </w:rPr>
        <w:t>Francisella</w:t>
      </w:r>
      <w:proofErr w:type="spellEnd"/>
      <w:r w:rsidRPr="008241A5">
        <w:rPr>
          <w:sz w:val="22"/>
          <w:szCs w:val="22"/>
        </w:rPr>
        <w:t xml:space="preserve"> </w:t>
      </w:r>
      <w:proofErr w:type="spellStart"/>
      <w:r w:rsidRPr="008241A5">
        <w:rPr>
          <w:sz w:val="22"/>
          <w:szCs w:val="22"/>
        </w:rPr>
        <w:t>tularensis</w:t>
      </w:r>
      <w:proofErr w:type="spellEnd"/>
      <w:r w:rsidRPr="008241A5">
        <w:rPr>
          <w:sz w:val="22"/>
          <w:szCs w:val="22"/>
        </w:rPr>
        <w:t xml:space="preserve"> LVS. </w:t>
      </w:r>
      <w:r w:rsidRPr="008241A5">
        <w:rPr>
          <w:i/>
          <w:iCs/>
          <w:sz w:val="22"/>
          <w:szCs w:val="22"/>
        </w:rPr>
        <w:t xml:space="preserve">Infection and </w:t>
      </w:r>
      <w:r w:rsidRPr="004D2610">
        <w:rPr>
          <w:i/>
          <w:iCs/>
          <w:sz w:val="22"/>
          <w:szCs w:val="22"/>
        </w:rPr>
        <w:t>I</w:t>
      </w:r>
      <w:r w:rsidRPr="008241A5">
        <w:rPr>
          <w:i/>
          <w:iCs/>
          <w:sz w:val="22"/>
          <w:szCs w:val="22"/>
        </w:rPr>
        <w:t>mmunity</w:t>
      </w:r>
      <w:r w:rsidRPr="008241A5">
        <w:rPr>
          <w:sz w:val="22"/>
          <w:szCs w:val="22"/>
        </w:rPr>
        <w:t xml:space="preserve"> </w:t>
      </w:r>
      <w:r w:rsidRPr="008241A5">
        <w:rPr>
          <w:b/>
          <w:bCs/>
          <w:sz w:val="22"/>
          <w:szCs w:val="22"/>
        </w:rPr>
        <w:t>78</w:t>
      </w:r>
      <w:r w:rsidRPr="008241A5">
        <w:rPr>
          <w:sz w:val="22"/>
          <w:szCs w:val="22"/>
        </w:rPr>
        <w:t xml:space="preserve">, 4276–4285 (2010). </w:t>
      </w:r>
    </w:p>
    <w:p w14:paraId="6F4A3E6A" w14:textId="0B33F640" w:rsidR="008241A5" w:rsidRPr="004D2610" w:rsidRDefault="008241A5" w:rsidP="008241A5">
      <w:pPr>
        <w:rPr>
          <w:sz w:val="22"/>
          <w:szCs w:val="22"/>
        </w:rPr>
      </w:pPr>
    </w:p>
    <w:p w14:paraId="6BAC1A7A" w14:textId="19976260" w:rsidR="000B534A" w:rsidRPr="000B534A" w:rsidRDefault="000B534A" w:rsidP="000B534A">
      <w:pPr>
        <w:rPr>
          <w:sz w:val="22"/>
          <w:szCs w:val="22"/>
        </w:rPr>
      </w:pPr>
      <w:r w:rsidRPr="000B534A">
        <w:rPr>
          <w:sz w:val="22"/>
          <w:szCs w:val="22"/>
        </w:rPr>
        <w:t xml:space="preserve">Ramakrishnan, G. &amp; Sen, B. The </w:t>
      </w:r>
      <w:proofErr w:type="spellStart"/>
      <w:r w:rsidRPr="000B534A">
        <w:rPr>
          <w:sz w:val="22"/>
          <w:szCs w:val="22"/>
        </w:rPr>
        <w:t>FupA</w:t>
      </w:r>
      <w:proofErr w:type="spellEnd"/>
      <w:r w:rsidRPr="000B534A">
        <w:rPr>
          <w:sz w:val="22"/>
          <w:szCs w:val="22"/>
        </w:rPr>
        <w:t xml:space="preserve">/B protein uniquely facilitates transport of ferrous iron and siderophore-mediated ferric iron across the outer membrane of </w:t>
      </w:r>
      <w:proofErr w:type="spellStart"/>
      <w:r w:rsidRPr="000B534A">
        <w:rPr>
          <w:i/>
          <w:iCs/>
          <w:sz w:val="22"/>
          <w:szCs w:val="22"/>
        </w:rPr>
        <w:t>Francisella</w:t>
      </w:r>
      <w:proofErr w:type="spellEnd"/>
      <w:r w:rsidRPr="000B534A">
        <w:rPr>
          <w:i/>
          <w:iCs/>
          <w:sz w:val="22"/>
          <w:szCs w:val="22"/>
        </w:rPr>
        <w:t xml:space="preserve"> </w:t>
      </w:r>
      <w:proofErr w:type="spellStart"/>
      <w:r w:rsidRPr="000B534A">
        <w:rPr>
          <w:i/>
          <w:iCs/>
          <w:sz w:val="22"/>
          <w:szCs w:val="22"/>
        </w:rPr>
        <w:t>tularensis</w:t>
      </w:r>
      <w:proofErr w:type="spellEnd"/>
      <w:r w:rsidRPr="000B534A">
        <w:rPr>
          <w:sz w:val="22"/>
          <w:szCs w:val="22"/>
        </w:rPr>
        <w:t xml:space="preserve"> Live Vaccine Strain. </w:t>
      </w:r>
      <w:r w:rsidRPr="000B534A">
        <w:rPr>
          <w:i/>
          <w:iCs/>
          <w:sz w:val="22"/>
          <w:szCs w:val="22"/>
        </w:rPr>
        <w:t>Microbiology (Reading, England)</w:t>
      </w:r>
      <w:r w:rsidRPr="000B534A">
        <w:rPr>
          <w:sz w:val="22"/>
          <w:szCs w:val="22"/>
        </w:rPr>
        <w:t xml:space="preserve"> </w:t>
      </w:r>
      <w:r w:rsidRPr="000B534A">
        <w:rPr>
          <w:b/>
          <w:bCs/>
          <w:sz w:val="22"/>
          <w:szCs w:val="22"/>
        </w:rPr>
        <w:t>160</w:t>
      </w:r>
      <w:r w:rsidRPr="000B534A">
        <w:rPr>
          <w:sz w:val="22"/>
          <w:szCs w:val="22"/>
        </w:rPr>
        <w:t xml:space="preserve">, 446–457 (2013). </w:t>
      </w:r>
    </w:p>
    <w:p w14:paraId="4480B67A" w14:textId="77777777" w:rsidR="000B534A" w:rsidRPr="000B534A" w:rsidRDefault="000B534A" w:rsidP="000B534A">
      <w:pPr>
        <w:rPr>
          <w:sz w:val="22"/>
          <w:szCs w:val="22"/>
        </w:rPr>
      </w:pPr>
    </w:p>
    <w:p w14:paraId="637AB84F" w14:textId="77777777" w:rsidR="000B534A" w:rsidRPr="008241A5" w:rsidRDefault="000B534A" w:rsidP="008241A5"/>
    <w:p w14:paraId="7B4D4F7A" w14:textId="77777777" w:rsidR="00A329A6" w:rsidRDefault="00A329A6"/>
    <w:sectPr w:rsidR="00A329A6" w:rsidSect="00E938B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C92A83" w14:textId="77777777" w:rsidR="0093443C" w:rsidRDefault="0093443C" w:rsidP="00E938B2">
      <w:r>
        <w:separator/>
      </w:r>
    </w:p>
  </w:endnote>
  <w:endnote w:type="continuationSeparator" w:id="0">
    <w:p w14:paraId="0C732773" w14:textId="77777777" w:rsidR="0093443C" w:rsidRDefault="0093443C" w:rsidP="00E93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11B493" w14:textId="77777777" w:rsidR="0093443C" w:rsidRDefault="0093443C" w:rsidP="00E938B2">
      <w:r>
        <w:separator/>
      </w:r>
    </w:p>
  </w:footnote>
  <w:footnote w:type="continuationSeparator" w:id="0">
    <w:p w14:paraId="63A8A121" w14:textId="77777777" w:rsidR="0093443C" w:rsidRDefault="0093443C" w:rsidP="00E93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E1897" w14:textId="59C1BE14" w:rsidR="00E938B2" w:rsidRPr="00E938B2" w:rsidRDefault="00E938B2">
    <w:pPr>
      <w:pStyle w:val="Header"/>
      <w:rPr>
        <w:b/>
        <w:bCs/>
      </w:rPr>
    </w:pPr>
    <w:r w:rsidRPr="00E938B2">
      <w:rPr>
        <w:b/>
        <w:bCs/>
      </w:rPr>
      <w:t>RI-INBRE SURF 2021</w:t>
    </w:r>
    <w:r w:rsidRPr="00E938B2">
      <w:rPr>
        <w:b/>
        <w:bCs/>
      </w:rPr>
      <w:tab/>
    </w:r>
    <w:r w:rsidRPr="00E938B2">
      <w:rPr>
        <w:b/>
        <w:bCs/>
      </w:rPr>
      <w:tab/>
    </w:r>
    <w:r w:rsidR="001305B0">
      <w:rPr>
        <w:b/>
        <w:bCs/>
      </w:rPr>
      <w:t>Marisa</w:t>
    </w:r>
    <w:r w:rsidRPr="00E938B2">
      <w:rPr>
        <w:b/>
        <w:bCs/>
      </w:rPr>
      <w:t xml:space="preserve"> </w:t>
    </w:r>
    <w:r w:rsidR="001305B0">
      <w:rPr>
        <w:b/>
        <w:bCs/>
      </w:rPr>
      <w:t>Cogswell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4D9"/>
    <w:rsid w:val="000508B5"/>
    <w:rsid w:val="000B534A"/>
    <w:rsid w:val="001305B0"/>
    <w:rsid w:val="00205D0F"/>
    <w:rsid w:val="00306832"/>
    <w:rsid w:val="00333F2A"/>
    <w:rsid w:val="004134D9"/>
    <w:rsid w:val="00480EE5"/>
    <w:rsid w:val="004917B3"/>
    <w:rsid w:val="004D2610"/>
    <w:rsid w:val="004F7529"/>
    <w:rsid w:val="00581459"/>
    <w:rsid w:val="008241A5"/>
    <w:rsid w:val="008435F7"/>
    <w:rsid w:val="0093443C"/>
    <w:rsid w:val="00A329A6"/>
    <w:rsid w:val="00B22BD9"/>
    <w:rsid w:val="00D50195"/>
    <w:rsid w:val="00DE5CC5"/>
    <w:rsid w:val="00E938B2"/>
    <w:rsid w:val="00EE4A00"/>
    <w:rsid w:val="00F201F9"/>
    <w:rsid w:val="00F73B09"/>
    <w:rsid w:val="00FC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FFB048"/>
  <w15:chartTrackingRefBased/>
  <w15:docId w15:val="{F39B755E-0DDF-D44E-85E4-5B4FA4B7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832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sl-left-margin">
    <w:name w:val="csl-left-margin"/>
    <w:basedOn w:val="DefaultParagraphFont"/>
    <w:rsid w:val="00A329A6"/>
  </w:style>
  <w:style w:type="character" w:customStyle="1" w:styleId="csl-right-inline">
    <w:name w:val="csl-right-inline"/>
    <w:basedOn w:val="DefaultParagraphFont"/>
    <w:rsid w:val="00A329A6"/>
  </w:style>
  <w:style w:type="paragraph" w:styleId="Header">
    <w:name w:val="header"/>
    <w:basedOn w:val="Normal"/>
    <w:link w:val="HeaderChar"/>
    <w:uiPriority w:val="99"/>
    <w:unhideWhenUsed/>
    <w:rsid w:val="00E938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38B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938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38B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44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2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0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Ramsey</dc:creator>
  <cp:keywords/>
  <dc:description/>
  <cp:lastModifiedBy>Kathryn Ramsey</cp:lastModifiedBy>
  <cp:revision>2</cp:revision>
  <cp:lastPrinted>2021-05-25T18:17:00Z</cp:lastPrinted>
  <dcterms:created xsi:type="dcterms:W3CDTF">2021-05-25T18:43:00Z</dcterms:created>
  <dcterms:modified xsi:type="dcterms:W3CDTF">2021-05-25T18:43:00Z</dcterms:modified>
</cp:coreProperties>
</file>