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CDEF5" w14:textId="3A1EF5E9" w:rsidR="00971CDF" w:rsidRDefault="00B03DD5" w:rsidP="008B3C93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Abstract</w:t>
      </w:r>
    </w:p>
    <w:p w14:paraId="50CCD046" w14:textId="5999337B" w:rsidR="00B03DD5" w:rsidRDefault="009642EF" w:rsidP="008B3C93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Ribosomes, which translate mRNA into protein, can be heterogenous in composition and may play regulatory roles in gene expression</w:t>
      </w:r>
      <w:r w:rsidR="005E2A1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Here we explore </w:t>
      </w:r>
      <w:r w:rsidR="005E2A13">
        <w:rPr>
          <w:rFonts w:ascii="Arial" w:hAnsi="Arial" w:cs="Arial"/>
          <w:sz w:val="24"/>
          <w:szCs w:val="24"/>
        </w:rPr>
        <w:t xml:space="preserve">a mechanism by which ribosome composition impacts translation initiation </w:t>
      </w:r>
      <w:r w:rsidR="005E2A13">
        <w:rPr>
          <w:rFonts w:ascii="Arial" w:hAnsi="Arial" w:cs="Arial"/>
          <w:sz w:val="24"/>
          <w:szCs w:val="24"/>
        </w:rPr>
        <w:t xml:space="preserve">in the bacterial pathogen </w:t>
      </w:r>
      <w:r w:rsidR="005E2A13" w:rsidRPr="009642EF">
        <w:rPr>
          <w:rFonts w:ascii="Arial" w:hAnsi="Arial" w:cs="Arial"/>
          <w:i/>
          <w:iCs/>
          <w:sz w:val="24"/>
          <w:szCs w:val="24"/>
        </w:rPr>
        <w:t>Francisella tularensis</w:t>
      </w:r>
      <w:r w:rsidR="005E2A13">
        <w:rPr>
          <w:rFonts w:ascii="Arial" w:hAnsi="Arial" w:cs="Arial"/>
          <w:sz w:val="24"/>
          <w:szCs w:val="24"/>
        </w:rPr>
        <w:t>.</w:t>
      </w:r>
      <w:r w:rsidR="005E2A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Previously, we showed that loss of</w:t>
      </w:r>
      <w:r w:rsidR="005E2A13">
        <w:rPr>
          <w:rFonts w:ascii="Arial" w:hAnsi="Arial" w:cs="Arial"/>
          <w:sz w:val="24"/>
          <w:szCs w:val="24"/>
        </w:rPr>
        <w:t xml:space="preserve"> a small ribosomal protein homolog,</w:t>
      </w:r>
      <w:r>
        <w:rPr>
          <w:rFonts w:ascii="Arial" w:hAnsi="Arial" w:cs="Arial"/>
          <w:sz w:val="24"/>
          <w:szCs w:val="24"/>
        </w:rPr>
        <w:t xml:space="preserve"> bS21-2</w:t>
      </w:r>
      <w:r w:rsidR="005E2A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led to genome-wide changes in protein abundance that could not be explained by differences in transcript abundance or protein degradation</w:t>
      </w:r>
      <w:r w:rsidR="00402076">
        <w:rPr>
          <w:rFonts w:ascii="Arial" w:hAnsi="Arial" w:cs="Arial"/>
          <w:sz w:val="24"/>
          <w:szCs w:val="24"/>
        </w:rPr>
        <w:t xml:space="preserve">, leading us to hypothesize that ribosomes </w:t>
      </w:r>
      <w:r w:rsidR="005E2A13">
        <w:rPr>
          <w:rFonts w:ascii="Arial" w:hAnsi="Arial" w:cs="Arial"/>
          <w:sz w:val="24"/>
          <w:szCs w:val="24"/>
        </w:rPr>
        <w:t>with</w:t>
      </w:r>
      <w:r w:rsidR="00402076">
        <w:rPr>
          <w:rFonts w:ascii="Arial" w:hAnsi="Arial" w:cs="Arial"/>
          <w:sz w:val="24"/>
          <w:szCs w:val="24"/>
        </w:rPr>
        <w:t xml:space="preserve"> bS21-2 preferentially translate </w:t>
      </w:r>
      <w:r w:rsidR="005E2A13">
        <w:rPr>
          <w:rFonts w:ascii="Arial" w:hAnsi="Arial" w:cs="Arial"/>
          <w:sz w:val="24"/>
          <w:szCs w:val="24"/>
        </w:rPr>
        <w:t>specific</w:t>
      </w:r>
      <w:r w:rsidR="00402076">
        <w:rPr>
          <w:rFonts w:ascii="Arial" w:hAnsi="Arial" w:cs="Arial"/>
          <w:sz w:val="24"/>
          <w:szCs w:val="24"/>
        </w:rPr>
        <w:t xml:space="preserve"> mRNAs</w:t>
      </w:r>
      <w:r>
        <w:rPr>
          <w:rFonts w:ascii="Arial" w:hAnsi="Arial" w:cs="Arial"/>
          <w:sz w:val="24"/>
          <w:szCs w:val="24"/>
        </w:rPr>
        <w:t xml:space="preserve">. </w:t>
      </w:r>
      <w:r w:rsidR="00402076">
        <w:rPr>
          <w:rFonts w:ascii="Arial" w:hAnsi="Arial" w:cs="Arial"/>
          <w:sz w:val="24"/>
          <w:szCs w:val="24"/>
        </w:rPr>
        <w:t>In this study, w</w:t>
      </w:r>
      <w:r>
        <w:rPr>
          <w:rFonts w:ascii="Arial" w:hAnsi="Arial" w:cs="Arial"/>
          <w:sz w:val="24"/>
          <w:szCs w:val="24"/>
        </w:rPr>
        <w:t>e</w:t>
      </w:r>
      <w:r w:rsidR="00402076">
        <w:rPr>
          <w:rFonts w:ascii="Arial" w:hAnsi="Arial" w:cs="Arial"/>
          <w:sz w:val="24"/>
          <w:szCs w:val="24"/>
        </w:rPr>
        <w:t xml:space="preserve"> find that loss of bS21-2 leads to increased abundance of the RNA chaperone Hfq and </w:t>
      </w:r>
      <w:r w:rsidR="005E2A13">
        <w:rPr>
          <w:rFonts w:ascii="Arial" w:hAnsi="Arial" w:cs="Arial"/>
          <w:sz w:val="24"/>
          <w:szCs w:val="24"/>
        </w:rPr>
        <w:t xml:space="preserve">that </w:t>
      </w:r>
      <w:r w:rsidR="00402076">
        <w:rPr>
          <w:rFonts w:ascii="Arial" w:hAnsi="Arial" w:cs="Arial"/>
          <w:sz w:val="24"/>
          <w:szCs w:val="24"/>
        </w:rPr>
        <w:t>both Hfq and bS21</w:t>
      </w:r>
      <w:r w:rsidR="005E2A13">
        <w:rPr>
          <w:rFonts w:ascii="Arial" w:hAnsi="Arial" w:cs="Arial"/>
          <w:sz w:val="24"/>
          <w:szCs w:val="24"/>
        </w:rPr>
        <w:noBreakHyphen/>
      </w:r>
      <w:r w:rsidR="00402076">
        <w:rPr>
          <w:rFonts w:ascii="Arial" w:hAnsi="Arial" w:cs="Arial"/>
          <w:sz w:val="24"/>
          <w:szCs w:val="24"/>
        </w:rPr>
        <w:t>2 impact expression of key virulence genes</w:t>
      </w:r>
      <w:r w:rsidR="005E2A13">
        <w:rPr>
          <w:rFonts w:ascii="Arial" w:hAnsi="Arial" w:cs="Arial"/>
          <w:sz w:val="24"/>
          <w:szCs w:val="24"/>
        </w:rPr>
        <w:t>.</w:t>
      </w:r>
      <w:r w:rsidR="00402076">
        <w:rPr>
          <w:rFonts w:ascii="Arial" w:hAnsi="Arial" w:cs="Arial"/>
          <w:sz w:val="24"/>
          <w:szCs w:val="24"/>
        </w:rPr>
        <w:t xml:space="preserve"> </w:t>
      </w:r>
      <w:r w:rsidR="005E2A13">
        <w:rPr>
          <w:rFonts w:ascii="Arial" w:hAnsi="Arial" w:cs="Arial"/>
          <w:sz w:val="24"/>
          <w:szCs w:val="24"/>
        </w:rPr>
        <w:t>Y</w:t>
      </w:r>
      <w:r w:rsidR="00402076">
        <w:rPr>
          <w:rFonts w:ascii="Arial" w:hAnsi="Arial" w:cs="Arial"/>
          <w:sz w:val="24"/>
          <w:szCs w:val="24"/>
        </w:rPr>
        <w:t>et, Hfq and bS21-2 influence protein abundance via distinct mechanisms. We then show that the 5</w:t>
      </w:r>
      <w:r w:rsidR="00402076">
        <w:rPr>
          <w:rFonts w:ascii="Century Gothic" w:hAnsi="Century Gothic" w:cs="Arial"/>
          <w:sz w:val="24"/>
          <w:szCs w:val="24"/>
        </w:rPr>
        <w:t>´</w:t>
      </w:r>
      <w:r w:rsidR="00402076">
        <w:rPr>
          <w:rFonts w:ascii="Arial" w:hAnsi="Arial" w:cs="Arial"/>
          <w:sz w:val="24"/>
          <w:szCs w:val="24"/>
        </w:rPr>
        <w:t xml:space="preserve"> untranslated region (UTR) of some bS21-2-responsive genes</w:t>
      </w:r>
      <w:r w:rsidR="007F4677">
        <w:rPr>
          <w:rFonts w:ascii="Arial" w:hAnsi="Arial" w:cs="Arial"/>
          <w:sz w:val="24"/>
          <w:szCs w:val="24"/>
        </w:rPr>
        <w:t xml:space="preserve">, including key virulence genes </w:t>
      </w:r>
      <w:r w:rsidR="007F4677" w:rsidRPr="007F4677">
        <w:rPr>
          <w:rFonts w:ascii="Arial" w:hAnsi="Arial" w:cs="Arial"/>
          <w:i/>
          <w:iCs/>
          <w:sz w:val="24"/>
          <w:szCs w:val="24"/>
        </w:rPr>
        <w:t>iglA</w:t>
      </w:r>
      <w:r w:rsidR="007F4677">
        <w:rPr>
          <w:rFonts w:ascii="Arial" w:hAnsi="Arial" w:cs="Arial"/>
          <w:sz w:val="24"/>
          <w:szCs w:val="24"/>
        </w:rPr>
        <w:t xml:space="preserve"> and </w:t>
      </w:r>
      <w:r w:rsidR="007F4677" w:rsidRPr="007F4677">
        <w:rPr>
          <w:rFonts w:ascii="Arial" w:hAnsi="Arial" w:cs="Arial"/>
          <w:i/>
          <w:iCs/>
          <w:sz w:val="24"/>
          <w:szCs w:val="24"/>
        </w:rPr>
        <w:t>pdpA</w:t>
      </w:r>
      <w:r w:rsidR="007F4677">
        <w:rPr>
          <w:rFonts w:ascii="Arial" w:hAnsi="Arial" w:cs="Arial"/>
          <w:sz w:val="24"/>
          <w:szCs w:val="24"/>
        </w:rPr>
        <w:t>,</w:t>
      </w:r>
      <w:r w:rsidR="00402076">
        <w:rPr>
          <w:rFonts w:ascii="Arial" w:hAnsi="Arial" w:cs="Arial"/>
          <w:sz w:val="24"/>
          <w:szCs w:val="24"/>
        </w:rPr>
        <w:t xml:space="preserve"> is sufficient to drive </w:t>
      </w:r>
      <w:r w:rsidR="00494B78">
        <w:rPr>
          <w:rFonts w:ascii="Arial" w:hAnsi="Arial" w:cs="Arial"/>
          <w:sz w:val="24"/>
          <w:szCs w:val="24"/>
        </w:rPr>
        <w:t>decreased</w:t>
      </w:r>
      <w:r w:rsidR="00402076">
        <w:rPr>
          <w:rFonts w:ascii="Arial" w:hAnsi="Arial" w:cs="Arial"/>
          <w:sz w:val="24"/>
          <w:szCs w:val="24"/>
        </w:rPr>
        <w:t xml:space="preserve"> </w:t>
      </w:r>
      <w:r w:rsidR="00494B78">
        <w:rPr>
          <w:rFonts w:ascii="Arial" w:hAnsi="Arial" w:cs="Arial"/>
          <w:sz w:val="24"/>
          <w:szCs w:val="24"/>
        </w:rPr>
        <w:t>production</w:t>
      </w:r>
      <w:r w:rsidR="00402076">
        <w:rPr>
          <w:rFonts w:ascii="Arial" w:hAnsi="Arial" w:cs="Arial"/>
          <w:sz w:val="24"/>
          <w:szCs w:val="24"/>
        </w:rPr>
        <w:t xml:space="preserve"> of reporter proteins</w:t>
      </w:r>
      <w:r w:rsidR="00494B78">
        <w:rPr>
          <w:rFonts w:ascii="Arial" w:hAnsi="Arial" w:cs="Arial"/>
          <w:sz w:val="24"/>
          <w:szCs w:val="24"/>
        </w:rPr>
        <w:t xml:space="preserve"> when bS21-2 is lost</w:t>
      </w:r>
      <w:r w:rsidR="007F4677">
        <w:rPr>
          <w:rFonts w:ascii="Arial" w:hAnsi="Arial" w:cs="Arial"/>
          <w:sz w:val="24"/>
          <w:szCs w:val="24"/>
        </w:rPr>
        <w:t xml:space="preserve">. In exploring aspects of the </w:t>
      </w:r>
      <w:r w:rsidR="007F4677">
        <w:rPr>
          <w:rFonts w:ascii="Arial" w:hAnsi="Arial" w:cs="Arial"/>
          <w:sz w:val="24"/>
          <w:szCs w:val="24"/>
        </w:rPr>
        <w:t>5</w:t>
      </w:r>
      <w:r w:rsidR="007F4677">
        <w:rPr>
          <w:rFonts w:ascii="Century Gothic" w:hAnsi="Century Gothic" w:cs="Arial"/>
          <w:sz w:val="24"/>
          <w:szCs w:val="24"/>
        </w:rPr>
        <w:t>´</w:t>
      </w:r>
      <w:r w:rsidR="007F4677">
        <w:rPr>
          <w:rFonts w:ascii="Arial" w:hAnsi="Arial" w:cs="Arial"/>
          <w:sz w:val="24"/>
          <w:szCs w:val="24"/>
        </w:rPr>
        <w:t xml:space="preserve"> </w:t>
      </w:r>
      <w:r w:rsidR="007F4677">
        <w:rPr>
          <w:rFonts w:ascii="Arial" w:hAnsi="Arial" w:cs="Arial"/>
          <w:sz w:val="24"/>
          <w:szCs w:val="24"/>
        </w:rPr>
        <w:t>UTR that are important for this phenotype, we find that bS21-2 is not required for efficient translation of genes with perfect Shine-Dalgarno</w:t>
      </w:r>
      <w:r w:rsidR="00494B78">
        <w:rPr>
          <w:rFonts w:ascii="Arial" w:hAnsi="Arial" w:cs="Arial"/>
          <w:sz w:val="24"/>
          <w:szCs w:val="24"/>
        </w:rPr>
        <w:t xml:space="preserve"> (SD)</w:t>
      </w:r>
      <w:r w:rsidR="007F4677">
        <w:rPr>
          <w:rFonts w:ascii="Arial" w:hAnsi="Arial" w:cs="Arial"/>
          <w:sz w:val="24"/>
          <w:szCs w:val="24"/>
        </w:rPr>
        <w:t xml:space="preserve"> sequences, and </w:t>
      </w:r>
      <w:r w:rsidR="00494B78">
        <w:rPr>
          <w:rFonts w:ascii="Arial" w:hAnsi="Arial" w:cs="Arial"/>
          <w:sz w:val="24"/>
          <w:szCs w:val="24"/>
        </w:rPr>
        <w:t xml:space="preserve">genes positively impacted by bS21-2 are more likely to have weak SD sequences. Additionally, modifications that disrupt the predicted </w:t>
      </w:r>
      <w:r w:rsidR="00494B78">
        <w:rPr>
          <w:rFonts w:ascii="Arial" w:hAnsi="Arial" w:cs="Arial"/>
          <w:sz w:val="24"/>
          <w:szCs w:val="24"/>
        </w:rPr>
        <w:t>5</w:t>
      </w:r>
      <w:r w:rsidR="00494B78">
        <w:rPr>
          <w:rFonts w:ascii="Century Gothic" w:hAnsi="Century Gothic" w:cs="Arial"/>
          <w:sz w:val="24"/>
          <w:szCs w:val="24"/>
        </w:rPr>
        <w:t>´</w:t>
      </w:r>
      <w:r w:rsidR="00494B78">
        <w:rPr>
          <w:rFonts w:ascii="Arial" w:hAnsi="Arial" w:cs="Arial"/>
          <w:sz w:val="24"/>
          <w:szCs w:val="24"/>
        </w:rPr>
        <w:t xml:space="preserve"> UTR </w:t>
      </w:r>
      <w:r w:rsidR="00494B78">
        <w:rPr>
          <w:rFonts w:ascii="Arial" w:hAnsi="Arial" w:cs="Arial"/>
          <w:sz w:val="24"/>
          <w:szCs w:val="24"/>
        </w:rPr>
        <w:t xml:space="preserve">structure or STREME-identified motifs in bS21-2-responsive </w:t>
      </w:r>
      <w:r w:rsidR="00494B78">
        <w:rPr>
          <w:rFonts w:ascii="Arial" w:hAnsi="Arial" w:cs="Arial"/>
          <w:sz w:val="24"/>
          <w:szCs w:val="24"/>
        </w:rPr>
        <w:t>5</w:t>
      </w:r>
      <w:r w:rsidR="00494B78">
        <w:rPr>
          <w:rFonts w:ascii="Century Gothic" w:hAnsi="Century Gothic" w:cs="Arial"/>
          <w:sz w:val="24"/>
          <w:szCs w:val="24"/>
        </w:rPr>
        <w:t>´</w:t>
      </w:r>
      <w:r w:rsidR="00494B78">
        <w:rPr>
          <w:rFonts w:ascii="Arial" w:hAnsi="Arial" w:cs="Arial"/>
          <w:sz w:val="24"/>
          <w:szCs w:val="24"/>
        </w:rPr>
        <w:t xml:space="preserve"> UTR</w:t>
      </w:r>
      <w:r w:rsidR="00494B78">
        <w:rPr>
          <w:rFonts w:ascii="Arial" w:hAnsi="Arial" w:cs="Arial"/>
          <w:sz w:val="24"/>
          <w:szCs w:val="24"/>
        </w:rPr>
        <w:t xml:space="preserve">s do not </w:t>
      </w:r>
      <w:r w:rsidR="00A70399">
        <w:rPr>
          <w:rFonts w:ascii="Arial" w:hAnsi="Arial" w:cs="Arial"/>
          <w:sz w:val="24"/>
          <w:szCs w:val="24"/>
        </w:rPr>
        <w:t>alter</w:t>
      </w:r>
      <w:r w:rsidR="00494B78">
        <w:rPr>
          <w:rFonts w:ascii="Arial" w:hAnsi="Arial" w:cs="Arial"/>
          <w:sz w:val="24"/>
          <w:szCs w:val="24"/>
        </w:rPr>
        <w:t xml:space="preserve"> the positive impacts of bS21-2. Finally, we identify a 6-nucleotide sequence in the bS21-2-responsive </w:t>
      </w:r>
      <w:r w:rsidR="00494B78">
        <w:rPr>
          <w:rFonts w:ascii="Arial" w:hAnsi="Arial" w:cs="Arial"/>
          <w:sz w:val="24"/>
          <w:szCs w:val="24"/>
        </w:rPr>
        <w:t>5</w:t>
      </w:r>
      <w:r w:rsidR="00494B78">
        <w:rPr>
          <w:rFonts w:ascii="Century Gothic" w:hAnsi="Century Gothic" w:cs="Arial"/>
          <w:sz w:val="24"/>
          <w:szCs w:val="24"/>
        </w:rPr>
        <w:t>´</w:t>
      </w:r>
      <w:r w:rsidR="00494B78">
        <w:rPr>
          <w:rFonts w:ascii="Arial" w:hAnsi="Arial" w:cs="Arial"/>
          <w:sz w:val="24"/>
          <w:szCs w:val="24"/>
        </w:rPr>
        <w:t xml:space="preserve"> UTR </w:t>
      </w:r>
      <w:r w:rsidR="00494B78">
        <w:rPr>
          <w:rFonts w:ascii="Arial" w:hAnsi="Arial" w:cs="Arial"/>
          <w:sz w:val="24"/>
          <w:szCs w:val="24"/>
        </w:rPr>
        <w:t xml:space="preserve">of </w:t>
      </w:r>
      <w:r w:rsidR="00494B78" w:rsidRPr="00494B78">
        <w:rPr>
          <w:rFonts w:ascii="Arial" w:hAnsi="Arial" w:cs="Arial"/>
          <w:i/>
          <w:iCs/>
          <w:sz w:val="24"/>
          <w:szCs w:val="24"/>
        </w:rPr>
        <w:t>mraY</w:t>
      </w:r>
      <w:r w:rsidR="00494B78">
        <w:rPr>
          <w:rFonts w:ascii="Arial" w:hAnsi="Arial" w:cs="Arial"/>
          <w:i/>
          <w:iCs/>
          <w:sz w:val="24"/>
          <w:szCs w:val="24"/>
        </w:rPr>
        <w:t xml:space="preserve"> </w:t>
      </w:r>
      <w:r w:rsidR="00494B78">
        <w:rPr>
          <w:rFonts w:ascii="Arial" w:hAnsi="Arial" w:cs="Arial"/>
          <w:sz w:val="24"/>
          <w:szCs w:val="24"/>
        </w:rPr>
        <w:t xml:space="preserve">that is necessary for efficient translation by bS21-2-containing ribosomes. Our results indicate that ribosome composition in </w:t>
      </w:r>
      <w:r w:rsidR="00494B78" w:rsidRPr="00494B78">
        <w:rPr>
          <w:rFonts w:ascii="Arial" w:hAnsi="Arial" w:cs="Arial"/>
          <w:i/>
          <w:iCs/>
          <w:sz w:val="24"/>
          <w:szCs w:val="24"/>
        </w:rPr>
        <w:t>F. tularensis</w:t>
      </w:r>
      <w:r w:rsidR="00494B78">
        <w:rPr>
          <w:rFonts w:ascii="Arial" w:hAnsi="Arial" w:cs="Arial"/>
          <w:sz w:val="24"/>
          <w:szCs w:val="24"/>
        </w:rPr>
        <w:t xml:space="preserve"> impacts translation in a UTR-</w:t>
      </w:r>
      <w:r w:rsidR="00494B78">
        <w:rPr>
          <w:rFonts w:ascii="Arial" w:hAnsi="Arial" w:cs="Arial"/>
          <w:sz w:val="24"/>
          <w:szCs w:val="24"/>
        </w:rPr>
        <w:lastRenderedPageBreak/>
        <w:t>dependent manner</w:t>
      </w:r>
      <w:r w:rsidR="00A70399">
        <w:rPr>
          <w:rFonts w:ascii="Arial" w:hAnsi="Arial" w:cs="Arial"/>
          <w:sz w:val="24"/>
          <w:szCs w:val="24"/>
        </w:rPr>
        <w:t xml:space="preserve"> </w:t>
      </w:r>
      <w:r w:rsidR="00A70399">
        <w:rPr>
          <w:rFonts w:ascii="Arial" w:hAnsi="Arial" w:cs="Arial"/>
          <w:sz w:val="24"/>
          <w:szCs w:val="24"/>
        </w:rPr>
        <w:t xml:space="preserve">in the absence of strong SD-anti-SD </w:t>
      </w:r>
      <w:r w:rsidR="00A70399">
        <w:rPr>
          <w:rFonts w:ascii="Arial" w:hAnsi="Arial" w:cs="Arial"/>
          <w:sz w:val="24"/>
          <w:szCs w:val="24"/>
        </w:rPr>
        <w:t>interactions</w:t>
      </w:r>
      <w:r w:rsidR="00494B78">
        <w:rPr>
          <w:rFonts w:ascii="Arial" w:hAnsi="Arial" w:cs="Arial"/>
          <w:sz w:val="24"/>
          <w:szCs w:val="24"/>
        </w:rPr>
        <w:t xml:space="preserve">. Our findings are consistent with a model in which a bS21 homolog improves translation initiation through direct or indirect </w:t>
      </w:r>
      <w:r w:rsidR="00A70399">
        <w:rPr>
          <w:rFonts w:ascii="Arial" w:hAnsi="Arial" w:cs="Arial"/>
          <w:sz w:val="24"/>
          <w:szCs w:val="24"/>
        </w:rPr>
        <w:t>interactions</w:t>
      </w:r>
      <w:r w:rsidR="00494B78">
        <w:rPr>
          <w:rFonts w:ascii="Arial" w:hAnsi="Arial" w:cs="Arial"/>
          <w:sz w:val="24"/>
          <w:szCs w:val="24"/>
        </w:rPr>
        <w:t xml:space="preserve"> with specific leader sequences.</w:t>
      </w:r>
    </w:p>
    <w:p w14:paraId="6558E77F" w14:textId="39F3E9F9" w:rsidR="00FE6820" w:rsidRDefault="00FE6820" w:rsidP="008B3C93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Importance</w:t>
      </w:r>
    </w:p>
    <w:p w14:paraId="5D63BE49" w14:textId="4D649643" w:rsidR="00FE6820" w:rsidRPr="00FE6820" w:rsidRDefault="00FE6820" w:rsidP="008B3C93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Ribosome heterogeneity is common in bacteria, and recent studies have shown that ribosomes composition can play a</w:t>
      </w:r>
      <w:r w:rsidR="00B13E97">
        <w:rPr>
          <w:rFonts w:ascii="Arial" w:hAnsi="Arial" w:cs="Arial"/>
          <w:sz w:val="24"/>
          <w:szCs w:val="24"/>
        </w:rPr>
        <w:t xml:space="preserve"> regulatory </w:t>
      </w:r>
      <w:r>
        <w:rPr>
          <w:rFonts w:ascii="Arial" w:hAnsi="Arial" w:cs="Arial"/>
          <w:sz w:val="24"/>
          <w:szCs w:val="24"/>
        </w:rPr>
        <w:t xml:space="preserve">role in translation of some genes. </w:t>
      </w:r>
      <w:r w:rsidR="00E57AD6">
        <w:rPr>
          <w:rFonts w:ascii="Arial" w:hAnsi="Arial" w:cs="Arial"/>
          <w:sz w:val="24"/>
          <w:szCs w:val="24"/>
        </w:rPr>
        <w:t xml:space="preserve">However, mechanisms of ribosome-driven gene regulation </w:t>
      </w:r>
      <w:r w:rsidR="00B13E97">
        <w:rPr>
          <w:rFonts w:ascii="Arial" w:hAnsi="Arial" w:cs="Arial"/>
          <w:sz w:val="24"/>
          <w:szCs w:val="24"/>
        </w:rPr>
        <w:t xml:space="preserve">are not well understood. We found that </w:t>
      </w:r>
      <w:r w:rsidR="007F7492">
        <w:rPr>
          <w:rFonts w:ascii="Arial" w:hAnsi="Arial" w:cs="Arial"/>
          <w:sz w:val="24"/>
          <w:szCs w:val="24"/>
        </w:rPr>
        <w:t>loss of an r-protein homolog, bS21-2, leads to</w:t>
      </w:r>
      <w:r w:rsidR="00B13E97">
        <w:rPr>
          <w:rFonts w:ascii="Arial" w:hAnsi="Arial" w:cs="Arial"/>
          <w:sz w:val="24"/>
          <w:szCs w:val="24"/>
        </w:rPr>
        <w:t xml:space="preserve"> decreased protein production from some 5</w:t>
      </w:r>
      <w:r w:rsidR="00B13E97">
        <w:rPr>
          <w:rFonts w:ascii="Century Gothic" w:hAnsi="Century Gothic" w:cs="Arial"/>
          <w:sz w:val="24"/>
          <w:szCs w:val="24"/>
        </w:rPr>
        <w:t>´</w:t>
      </w:r>
      <w:r w:rsidR="00B13E97">
        <w:rPr>
          <w:rFonts w:ascii="Arial" w:hAnsi="Arial" w:cs="Arial"/>
          <w:sz w:val="24"/>
          <w:szCs w:val="24"/>
        </w:rPr>
        <w:t xml:space="preserve"> UTRs</w:t>
      </w:r>
      <w:r w:rsidR="007F7492">
        <w:rPr>
          <w:rFonts w:ascii="Arial" w:hAnsi="Arial" w:cs="Arial"/>
          <w:sz w:val="24"/>
          <w:szCs w:val="24"/>
        </w:rPr>
        <w:t xml:space="preserve"> in the human pathogen </w:t>
      </w:r>
      <w:r w:rsidR="007F7492" w:rsidRPr="007F7492">
        <w:rPr>
          <w:rFonts w:ascii="Arial" w:hAnsi="Arial" w:cs="Arial"/>
          <w:i/>
          <w:iCs/>
          <w:sz w:val="24"/>
          <w:szCs w:val="24"/>
        </w:rPr>
        <w:t>Francisella tularensis</w:t>
      </w:r>
      <w:r w:rsidR="00B13E97">
        <w:rPr>
          <w:rFonts w:ascii="Arial" w:hAnsi="Arial" w:cs="Arial"/>
          <w:sz w:val="24"/>
          <w:szCs w:val="24"/>
        </w:rPr>
        <w:t xml:space="preserve">. We showed that the mechanism of bS21-2-responsive translation is not related to Hfq, secondary structure of the </w:t>
      </w:r>
      <w:r w:rsidR="00B13E97">
        <w:rPr>
          <w:rFonts w:ascii="Arial" w:hAnsi="Arial" w:cs="Arial"/>
          <w:sz w:val="24"/>
          <w:szCs w:val="24"/>
        </w:rPr>
        <w:t>5</w:t>
      </w:r>
      <w:r w:rsidR="00B13E97">
        <w:rPr>
          <w:rFonts w:ascii="Century Gothic" w:hAnsi="Century Gothic" w:cs="Arial"/>
          <w:sz w:val="24"/>
          <w:szCs w:val="24"/>
        </w:rPr>
        <w:t>´</w:t>
      </w:r>
      <w:r w:rsidR="00B13E97">
        <w:rPr>
          <w:rFonts w:ascii="Arial" w:hAnsi="Arial" w:cs="Arial"/>
          <w:sz w:val="24"/>
          <w:szCs w:val="24"/>
        </w:rPr>
        <w:t xml:space="preserve"> </w:t>
      </w:r>
      <w:r w:rsidR="00B13E97">
        <w:rPr>
          <w:rFonts w:ascii="Arial" w:hAnsi="Arial" w:cs="Arial"/>
          <w:sz w:val="24"/>
          <w:szCs w:val="24"/>
        </w:rPr>
        <w:t xml:space="preserve">UTR, or several STREME-identified sequence motifs. Yet, at least one </w:t>
      </w:r>
      <w:r w:rsidR="00B13E97">
        <w:rPr>
          <w:rFonts w:ascii="Arial" w:hAnsi="Arial" w:cs="Arial"/>
          <w:sz w:val="24"/>
          <w:szCs w:val="24"/>
        </w:rPr>
        <w:t>5</w:t>
      </w:r>
      <w:r w:rsidR="00B13E97">
        <w:rPr>
          <w:rFonts w:ascii="Century Gothic" w:hAnsi="Century Gothic" w:cs="Arial"/>
          <w:sz w:val="24"/>
          <w:szCs w:val="24"/>
        </w:rPr>
        <w:t>´</w:t>
      </w:r>
      <w:r w:rsidR="00B13E97">
        <w:rPr>
          <w:rFonts w:ascii="Arial" w:hAnsi="Arial" w:cs="Arial"/>
          <w:sz w:val="24"/>
          <w:szCs w:val="24"/>
        </w:rPr>
        <w:t xml:space="preserve"> UTR</w:t>
      </w:r>
      <w:r w:rsidR="00B13E97">
        <w:rPr>
          <w:rFonts w:ascii="Arial" w:hAnsi="Arial" w:cs="Arial"/>
          <w:sz w:val="24"/>
          <w:szCs w:val="24"/>
        </w:rPr>
        <w:t xml:space="preserve"> requires a specific 6-nt sequence and </w:t>
      </w:r>
      <w:r w:rsidR="00B13E97">
        <w:rPr>
          <w:rFonts w:ascii="Arial" w:hAnsi="Arial" w:cs="Arial"/>
          <w:sz w:val="24"/>
          <w:szCs w:val="24"/>
        </w:rPr>
        <w:t>5</w:t>
      </w:r>
      <w:r w:rsidR="00B13E97">
        <w:rPr>
          <w:rFonts w:ascii="Century Gothic" w:hAnsi="Century Gothic" w:cs="Arial"/>
          <w:sz w:val="24"/>
          <w:szCs w:val="24"/>
        </w:rPr>
        <w:t>´</w:t>
      </w:r>
      <w:r w:rsidR="00B13E97">
        <w:rPr>
          <w:rFonts w:ascii="Arial" w:hAnsi="Arial" w:cs="Arial"/>
          <w:sz w:val="24"/>
          <w:szCs w:val="24"/>
        </w:rPr>
        <w:t xml:space="preserve"> UTRs</w:t>
      </w:r>
      <w:r w:rsidR="00B13E97">
        <w:rPr>
          <w:rFonts w:ascii="Arial" w:hAnsi="Arial" w:cs="Arial"/>
          <w:sz w:val="24"/>
          <w:szCs w:val="24"/>
        </w:rPr>
        <w:t xml:space="preserve"> must have imperfect Shine-Dalgarno sequences to be bS21-2-responsive. Our data support a model in which bS21 content impacts translation initiation in a leader sequence-dependent manner</w:t>
      </w:r>
      <w:r w:rsidR="007F7492">
        <w:rPr>
          <w:rFonts w:ascii="Arial" w:hAnsi="Arial" w:cs="Arial"/>
          <w:sz w:val="24"/>
          <w:szCs w:val="24"/>
        </w:rPr>
        <w:t xml:space="preserve"> to regulate gene expression</w:t>
      </w:r>
      <w:r w:rsidR="00B13E97">
        <w:rPr>
          <w:rFonts w:ascii="Arial" w:hAnsi="Arial" w:cs="Arial"/>
          <w:sz w:val="24"/>
          <w:szCs w:val="24"/>
        </w:rPr>
        <w:t xml:space="preserve">. This </w:t>
      </w:r>
      <w:r w:rsidR="007F7492">
        <w:rPr>
          <w:rFonts w:ascii="Arial" w:hAnsi="Arial" w:cs="Arial"/>
          <w:sz w:val="24"/>
          <w:szCs w:val="24"/>
        </w:rPr>
        <w:t>regulatory</w:t>
      </w:r>
      <w:r w:rsidR="00B13E97">
        <w:rPr>
          <w:rFonts w:ascii="Arial" w:hAnsi="Arial" w:cs="Arial"/>
          <w:sz w:val="24"/>
          <w:szCs w:val="24"/>
        </w:rPr>
        <w:t xml:space="preserve"> strategy may be conserved - various bacterial species may use ribosomes with other sources of heterogeneity to modulate translation of specific transcripts based on leader sequence characteristics.</w:t>
      </w:r>
    </w:p>
    <w:sectPr w:rsidR="00FE6820" w:rsidRPr="00FE6820" w:rsidSect="00B03DD5"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yNrcwtTA0NzEwMjVQ0lEKTi0uzszPAykwqQUABFDrkSwAAAA="/>
  </w:docVars>
  <w:rsids>
    <w:rsidRoot w:val="00B80F07"/>
    <w:rsid w:val="000C30F8"/>
    <w:rsid w:val="000E63CD"/>
    <w:rsid w:val="001F1749"/>
    <w:rsid w:val="00402076"/>
    <w:rsid w:val="00494B78"/>
    <w:rsid w:val="005360D8"/>
    <w:rsid w:val="005E2A13"/>
    <w:rsid w:val="00652C05"/>
    <w:rsid w:val="007019FB"/>
    <w:rsid w:val="007A134E"/>
    <w:rsid w:val="007F4677"/>
    <w:rsid w:val="007F7492"/>
    <w:rsid w:val="00825EE6"/>
    <w:rsid w:val="00851DBE"/>
    <w:rsid w:val="0086093C"/>
    <w:rsid w:val="008B3C93"/>
    <w:rsid w:val="008C38CB"/>
    <w:rsid w:val="009642EF"/>
    <w:rsid w:val="00971CDF"/>
    <w:rsid w:val="00A36490"/>
    <w:rsid w:val="00A70399"/>
    <w:rsid w:val="00AE3752"/>
    <w:rsid w:val="00AF0348"/>
    <w:rsid w:val="00B01AD3"/>
    <w:rsid w:val="00B03DD5"/>
    <w:rsid w:val="00B13E97"/>
    <w:rsid w:val="00B80F07"/>
    <w:rsid w:val="00CB7B1A"/>
    <w:rsid w:val="00D879DA"/>
    <w:rsid w:val="00E57AD6"/>
    <w:rsid w:val="00FE1A32"/>
    <w:rsid w:val="00FE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34AF"/>
  <w15:chartTrackingRefBased/>
  <w15:docId w15:val="{73D0085B-A073-4172-86DB-126E31B6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01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9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9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9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9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11</cp:revision>
  <dcterms:created xsi:type="dcterms:W3CDTF">2023-03-07T17:14:00Z</dcterms:created>
  <dcterms:modified xsi:type="dcterms:W3CDTF">2023-03-07T18:47:00Z</dcterms:modified>
</cp:coreProperties>
</file>