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F4DA9" w14:textId="77777777" w:rsidR="008A5148" w:rsidRDefault="008A5148" w:rsidP="008A5148">
      <w:pPr>
        <w:pStyle w:val="Heading2"/>
        <w:numPr>
          <w:ilvl w:val="0"/>
          <w:numId w:val="1"/>
        </w:numPr>
      </w:pPr>
      <w:r>
        <w:t>Predicted s</w:t>
      </w:r>
      <w:r w:rsidRPr="007C7802">
        <w:t>econdary structure of 5´UTRs does not impact bS21-2 modulation</w:t>
      </w:r>
    </w:p>
    <w:p w14:paraId="712304E3" w14:textId="6ACC2DE9" w:rsidR="008A5148" w:rsidRDefault="008A5148" w:rsidP="008A5148">
      <w:pPr>
        <w:spacing w:before="240" w:line="480" w:lineRule="auto"/>
        <w:ind w:firstLine="720"/>
        <w:jc w:val="both"/>
      </w:pPr>
      <w:r>
        <w:t xml:space="preserve">The secondary structure of mRNA molecules has long been known to impact translation initiation (Hall et al. 1982; de Smit and Van Duin 1994). We hypothesized that the secondary structure of mRNAs that are differentially expressed in cells with or without bS21-2 may play a role in altered translation. We predicted the secondary structure of the </w:t>
      </w:r>
      <w:r>
        <w:rPr>
          <w:i/>
          <w:iCs/>
        </w:rPr>
        <w:t xml:space="preserve">pdpA </w:t>
      </w:r>
      <w:r>
        <w:t>5</w:t>
      </w:r>
      <w:r>
        <w:rPr>
          <w:rFonts w:cstheme="minorHAnsi"/>
        </w:rPr>
        <w:t>´</w:t>
      </w:r>
      <w:r>
        <w:t xml:space="preserve">UTR using </w:t>
      </w:r>
      <w:r w:rsidR="001E54A3">
        <w:t>MX</w:t>
      </w:r>
      <w:r>
        <w:t>fold</w:t>
      </w:r>
      <w:r w:rsidR="001E54A3">
        <w:t>2</w:t>
      </w:r>
      <w:r>
        <w:t xml:space="preserve">, made targeted mutations to disrupt the predicted stem-loop structure, and generated </w:t>
      </w:r>
      <w:r>
        <w:rPr>
          <w:rFonts w:cstheme="minorHAnsi"/>
        </w:rPr>
        <w:t>β</w:t>
      </w:r>
      <w:r>
        <w:t xml:space="preserve">-galactosidase reporters at the Tn7 site in LVS and </w:t>
      </w:r>
      <w:r>
        <w:rPr>
          <w:rFonts w:cstheme="minorHAnsi"/>
        </w:rPr>
        <w:t>Δ</w:t>
      </w:r>
      <w:r>
        <w:t xml:space="preserve">bS21-2 (Figure 3a). We also made complementary mutations to revert the secondary structure without maintaining the original sequence. In designing each mutation, we ensured that there was no disruption to the Shine-Dalgarno or start codon. Though there were decreases in overall production of </w:t>
      </w:r>
      <w:r>
        <w:rPr>
          <w:rFonts w:cstheme="minorHAnsi"/>
        </w:rPr>
        <w:t>β</w:t>
      </w:r>
      <w:r>
        <w:t>-galactosidase for each of these mutations compared to the wild-type 5</w:t>
      </w:r>
      <w:r>
        <w:rPr>
          <w:rFonts w:cstheme="minorHAnsi"/>
        </w:rPr>
        <w:t>´</w:t>
      </w:r>
      <w:r>
        <w:t xml:space="preserve">UTR, the ratio of translation between LVS and </w:t>
      </w:r>
      <w:r>
        <w:rPr>
          <w:rFonts w:cstheme="minorHAnsi"/>
        </w:rPr>
        <w:t>Δ</w:t>
      </w:r>
      <w:r>
        <w:t>bS21-2 was not impacted, suggesting that secondary structure of this 5</w:t>
      </w:r>
      <w:r>
        <w:rPr>
          <w:rFonts w:cstheme="minorHAnsi"/>
        </w:rPr>
        <w:t>´</w:t>
      </w:r>
      <w:r>
        <w:t xml:space="preserve">UTR does not play a role in translation modulation by bS21-2. </w:t>
      </w:r>
    </w:p>
    <w:p w14:paraId="677F7704" w14:textId="71A8B09F" w:rsidR="008A5148" w:rsidRDefault="008A5148" w:rsidP="008A5148">
      <w:pPr>
        <w:spacing w:before="240" w:line="480" w:lineRule="auto"/>
        <w:ind w:firstLine="720"/>
        <w:jc w:val="both"/>
      </w:pPr>
      <w:r>
        <w:t xml:space="preserve">We additionally looked at structural motifs in a </w:t>
      </w:r>
      <w:r w:rsidR="001E54A3">
        <w:t xml:space="preserve">longer </w:t>
      </w:r>
      <w:r>
        <w:t>5</w:t>
      </w:r>
      <w:r>
        <w:rPr>
          <w:rFonts w:cstheme="minorHAnsi"/>
        </w:rPr>
        <w:t>´</w:t>
      </w:r>
      <w:r>
        <w:t xml:space="preserve">UTR, </w:t>
      </w:r>
      <w:r>
        <w:rPr>
          <w:i/>
          <w:iCs/>
        </w:rPr>
        <w:t xml:space="preserve">mraY. </w:t>
      </w:r>
      <w:r>
        <w:t>Secondary structure predictions identified the wild-type 5</w:t>
      </w:r>
      <w:r>
        <w:rPr>
          <w:rFonts w:cstheme="minorHAnsi"/>
        </w:rPr>
        <w:t>´</w:t>
      </w:r>
      <w:r>
        <w:t xml:space="preserve">UTR of </w:t>
      </w:r>
      <w:r>
        <w:rPr>
          <w:i/>
          <w:iCs/>
        </w:rPr>
        <w:t xml:space="preserve">mraY </w:t>
      </w:r>
      <w:r>
        <w:t>contains a single, large stem-loop with one internal, one terminal loop, and an unstructured 5</w:t>
      </w:r>
      <w:r>
        <w:rPr>
          <w:rFonts w:cstheme="minorHAnsi"/>
        </w:rPr>
        <w:t>´ tail</w:t>
      </w:r>
      <w:r w:rsidR="001E54A3">
        <w:rPr>
          <w:rFonts w:cstheme="minorHAnsi"/>
        </w:rPr>
        <w:t xml:space="preserve"> (Figure 3B)</w:t>
      </w:r>
      <w:r>
        <w:rPr>
          <w:rFonts w:cstheme="minorHAnsi"/>
        </w:rPr>
        <w:t>. A number of mutations were made that impacted th</w:t>
      </w:r>
      <w:r w:rsidR="001E54A3">
        <w:rPr>
          <w:rFonts w:cstheme="minorHAnsi"/>
        </w:rPr>
        <w:t>e predicted</w:t>
      </w:r>
      <w:r>
        <w:rPr>
          <w:rFonts w:cstheme="minorHAnsi"/>
        </w:rPr>
        <w:t xml:space="preserve"> secondary structur</w:t>
      </w:r>
      <w:r w:rsidR="001E54A3">
        <w:rPr>
          <w:rFonts w:cstheme="minorHAnsi"/>
        </w:rPr>
        <w:t>e. Of particular note, mutation 9 and mutation 12, which differ only in the identity of three nucleotides, have identical predicted structures (Figure 3B). The similarity in predicted structure of mutation 9 and mutation 12 were validated by several sequence prediction software packages (Figure S3). Comparing the results of these constructs in the GFP assay, there is a significant difference in their ratio of LVS:ΔbS21-</w:t>
      </w:r>
      <w:r w:rsidR="001E54A3">
        <w:rPr>
          <w:rFonts w:cstheme="minorHAnsi"/>
        </w:rPr>
        <w:lastRenderedPageBreak/>
        <w:t xml:space="preserve">2 (Figure 5a). Namely, mutation 9 has more GFP produced in LVS while mutation 12 has more GFP produced in </w:t>
      </w:r>
      <w:r w:rsidR="001E54A3">
        <w:rPr>
          <w:rFonts w:cstheme="minorHAnsi"/>
        </w:rPr>
        <w:t>Δ</w:t>
      </w:r>
      <w:r w:rsidR="001E54A3">
        <w:rPr>
          <w:rFonts w:cstheme="minorHAnsi"/>
        </w:rPr>
        <w:t xml:space="preserve">bS21-2. Additionally, mutation 10 and mutation 12 have very similar GFP results, yet their predicted structures are not identical (Figure 5a; Figure 3b). </w:t>
      </w:r>
      <w:r>
        <w:t>T</w:t>
      </w:r>
      <w:r w:rsidR="001E54A3">
        <w:t xml:space="preserve">ogether with the </w:t>
      </w:r>
      <w:r w:rsidRPr="000D3D3F">
        <w:rPr>
          <w:i/>
          <w:iCs/>
        </w:rPr>
        <w:t>pdpA</w:t>
      </w:r>
      <w:r>
        <w:t xml:space="preserve"> findings</w:t>
      </w:r>
      <w:r w:rsidR="001E54A3">
        <w:t xml:space="preserve">, these data indicate that </w:t>
      </w:r>
      <w:r w:rsidR="00425114">
        <w:t xml:space="preserve">there is no clearly </w:t>
      </w:r>
      <w:r w:rsidR="001E54A3">
        <w:t>predict</w:t>
      </w:r>
      <w:r w:rsidR="00425114">
        <w:t>ed</w:t>
      </w:r>
      <w:r w:rsidR="001E54A3">
        <w:t xml:space="preserve"> secondary structure that</w:t>
      </w:r>
      <w:r>
        <w:t xml:space="preserve"> is necessary for translation to be impacted by bS21-2.</w:t>
      </w:r>
    </w:p>
    <w:p w14:paraId="45CE502E" w14:textId="77777777" w:rsidR="008A1B86" w:rsidRDefault="008A1B86"/>
    <w:sectPr w:rsidR="008A1B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5F31FA"/>
    <w:multiLevelType w:val="hybridMultilevel"/>
    <w:tmpl w:val="6E566A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205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DQ1s7AwNjayMDI3MTZU0lEKTi0uzszPAykwrAUAPjH4LiwAAAA="/>
  </w:docVars>
  <w:rsids>
    <w:rsidRoot w:val="008A5148"/>
    <w:rsid w:val="001E54A3"/>
    <w:rsid w:val="00425114"/>
    <w:rsid w:val="008A1B86"/>
    <w:rsid w:val="008A51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86144"/>
  <w15:chartTrackingRefBased/>
  <w15:docId w15:val="{A439A7ED-94FD-40A7-BA71-75BC9192C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148"/>
    <w:pPr>
      <w:spacing w:after="0" w:line="240" w:lineRule="auto"/>
    </w:pPr>
    <w:rPr>
      <w:sz w:val="24"/>
      <w:szCs w:val="24"/>
    </w:rPr>
  </w:style>
  <w:style w:type="paragraph" w:styleId="Heading2">
    <w:name w:val="heading 2"/>
    <w:basedOn w:val="Normal"/>
    <w:next w:val="Normal"/>
    <w:link w:val="Heading2Char"/>
    <w:uiPriority w:val="9"/>
    <w:unhideWhenUsed/>
    <w:qFormat/>
    <w:rsid w:val="008A5148"/>
    <w:pPr>
      <w:keepNext/>
      <w:keepLines/>
      <w:spacing w:before="40" w:line="480" w:lineRule="auto"/>
      <w:jc w:val="both"/>
      <w:outlineLvl w:val="1"/>
    </w:pPr>
    <w:rPr>
      <w:rFonts w:ascii="Calibri" w:eastAsia="Times New Roman" w:hAnsi="Calibri" w:cs="Calibri"/>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A5148"/>
    <w:rPr>
      <w:rFonts w:ascii="Calibri" w:eastAsia="Times New Roman" w:hAnsi="Calibri" w:cs="Calibri"/>
      <w:b/>
      <w:bCs/>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345</Words>
  <Characters>1970</Characters>
  <Application>Microsoft Office Word</Application>
  <DocSecurity>0</DocSecurity>
  <Lines>16</Lines>
  <Paragraphs>4</Paragraphs>
  <ScaleCrop>false</ScaleCrop>
  <Company/>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dc:creator>
  <cp:keywords/>
  <dc:description/>
  <cp:lastModifiedBy>Hannah</cp:lastModifiedBy>
  <cp:revision>3</cp:revision>
  <dcterms:created xsi:type="dcterms:W3CDTF">2023-01-30T16:13:00Z</dcterms:created>
  <dcterms:modified xsi:type="dcterms:W3CDTF">2023-01-30T16:24:00Z</dcterms:modified>
</cp:coreProperties>
</file>