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B757A" w14:textId="04DE74AB" w:rsidR="000173A3" w:rsidRPr="00080A04" w:rsidRDefault="000173A3" w:rsidP="00973CB0">
      <w:pPr>
        <w:pStyle w:val="Heading2"/>
        <w:jc w:val="both"/>
        <w:rPr>
          <w:rFonts w:asciiTheme="minorHAnsi" w:eastAsia="Times New Roman" w:hAnsiTheme="minorHAnsi" w:cstheme="minorHAnsi"/>
          <w:b/>
          <w:bCs/>
          <w:i/>
          <w:iCs/>
          <w:color w:val="auto"/>
          <w:sz w:val="24"/>
          <w:szCs w:val="24"/>
        </w:rPr>
      </w:pPr>
      <w:r w:rsidRPr="00080A04">
        <w:rPr>
          <w:rFonts w:asciiTheme="minorHAnsi" w:eastAsia="Times New Roman" w:hAnsiTheme="minorHAnsi" w:cstheme="minorHAnsi"/>
          <w:b/>
          <w:bCs/>
          <w:i/>
          <w:iCs/>
          <w:color w:val="auto"/>
          <w:sz w:val="24"/>
          <w:szCs w:val="24"/>
        </w:rPr>
        <w:t>Loss of bS21-2 impacts translation from the 5´UTR of specific genes</w:t>
      </w:r>
    </w:p>
    <w:p w14:paraId="094493D5" w14:textId="2FB84367" w:rsidR="000954C5" w:rsidRDefault="006843E7" w:rsidP="00C01536">
      <w:pPr>
        <w:spacing w:before="100" w:beforeAutospacing="1" w:after="100" w:afterAutospacing="1" w:line="480" w:lineRule="auto"/>
        <w:ind w:firstLine="720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The alterations in protein, but not transcript, abundance in cells lacking bS21-2 along with the known position of bS21 in </w:t>
      </w:r>
      <w:r>
        <w:rPr>
          <w:rFonts w:ascii="Calibri" w:eastAsia="Times New Roman" w:hAnsi="Calibri" w:cs="Calibri"/>
          <w:i/>
          <w:iCs/>
        </w:rPr>
        <w:t xml:space="preserve">E. coli </w:t>
      </w:r>
      <w:r>
        <w:rPr>
          <w:rFonts w:ascii="Calibri" w:eastAsia="Times New Roman" w:hAnsi="Calibri" w:cs="Calibri"/>
        </w:rPr>
        <w:t xml:space="preserve">ribosomes, led us to hypothesize that bS21-2 interacts with the 5´UTR of particular transcripts during translation initiation. </w:t>
      </w:r>
      <w:r w:rsidR="009D00D1">
        <w:rPr>
          <w:rFonts w:ascii="Calibri" w:eastAsia="Times New Roman" w:hAnsi="Calibri" w:cs="Calibri"/>
        </w:rPr>
        <w:t xml:space="preserve">We presumed that modifying the </w:t>
      </w:r>
      <w:r w:rsidR="009D00D1">
        <w:rPr>
          <w:rFonts w:ascii="Calibri" w:eastAsia="Times New Roman" w:hAnsi="Calibri" w:cs="Calibri"/>
        </w:rPr>
        <w:t xml:space="preserve">5´UTR </w:t>
      </w:r>
      <w:r w:rsidR="009D00D1">
        <w:rPr>
          <w:rFonts w:ascii="Calibri" w:eastAsia="Times New Roman" w:hAnsi="Calibri" w:cs="Calibri"/>
        </w:rPr>
        <w:t xml:space="preserve"> of genes impacted by bS21-2 presence would allow us to assess this contribution directly. Thus, </w:t>
      </w:r>
      <w:r>
        <w:rPr>
          <w:rFonts w:ascii="Calibri" w:eastAsia="Times New Roman" w:hAnsi="Calibri" w:cs="Calibri"/>
        </w:rPr>
        <w:t xml:space="preserve"> we developed a series of reporter constructs which consisted of the </w:t>
      </w:r>
      <w:r w:rsidRPr="006843E7">
        <w:rPr>
          <w:rFonts w:ascii="Calibri" w:eastAsia="Times New Roman" w:hAnsi="Calibri" w:cs="Calibri"/>
          <w:i/>
          <w:iCs/>
        </w:rPr>
        <w:t>tul4</w:t>
      </w:r>
      <w:r>
        <w:rPr>
          <w:rFonts w:ascii="Calibri" w:eastAsia="Times New Roman" w:hAnsi="Calibri" w:cs="Calibri"/>
        </w:rPr>
        <w:t xml:space="preserve"> promoter, the 5´UTR with the first 6 codons of the gene of interest, fused to a reporter gene (</w:t>
      </w:r>
      <w:r>
        <w:rPr>
          <w:rFonts w:ascii="Calibri" w:eastAsia="Times New Roman" w:hAnsi="Calibri" w:cs="Calibri"/>
          <w:i/>
          <w:iCs/>
        </w:rPr>
        <w:t xml:space="preserve">lacZ </w:t>
      </w:r>
      <w:r>
        <w:rPr>
          <w:rFonts w:ascii="Calibri" w:eastAsia="Times New Roman" w:hAnsi="Calibri" w:cs="Calibri"/>
        </w:rPr>
        <w:t xml:space="preserve">or </w:t>
      </w:r>
      <w:r>
        <w:rPr>
          <w:rFonts w:ascii="Calibri" w:eastAsia="Times New Roman" w:hAnsi="Calibri" w:cs="Calibri"/>
          <w:i/>
          <w:iCs/>
        </w:rPr>
        <w:t>gfp</w:t>
      </w:r>
      <w:r>
        <w:rPr>
          <w:rFonts w:ascii="Calibri" w:eastAsia="Times New Roman" w:hAnsi="Calibri" w:cs="Calibri"/>
        </w:rPr>
        <w:t>)</w:t>
      </w:r>
      <w:r w:rsidR="000954C5">
        <w:rPr>
          <w:rFonts w:ascii="Calibri" w:eastAsia="Times New Roman" w:hAnsi="Calibri" w:cs="Calibri"/>
        </w:rPr>
        <w:t xml:space="preserve"> (Figure 1a)</w:t>
      </w:r>
      <w:r>
        <w:rPr>
          <w:rFonts w:ascii="Calibri" w:eastAsia="Times New Roman" w:hAnsi="Calibri" w:cs="Calibri"/>
        </w:rPr>
        <w:t>.</w:t>
      </w:r>
      <w:r w:rsidR="000954C5">
        <w:rPr>
          <w:rFonts w:ascii="Calibri" w:eastAsia="Times New Roman" w:hAnsi="Calibri" w:cs="Calibri"/>
        </w:rPr>
        <w:t xml:space="preserve"> These constructs were electroporated into </w:t>
      </w:r>
      <w:r w:rsidR="000954C5">
        <w:rPr>
          <w:rFonts w:ascii="Calibri" w:eastAsia="Times New Roman" w:hAnsi="Calibri" w:cs="Calibri"/>
          <w:i/>
          <w:iCs/>
        </w:rPr>
        <w:t xml:space="preserve">F. tularensis </w:t>
      </w:r>
      <w:r w:rsidR="000954C5">
        <w:rPr>
          <w:rFonts w:ascii="Calibri" w:eastAsia="Times New Roman" w:hAnsi="Calibri" w:cs="Calibri"/>
        </w:rPr>
        <w:t>cells with (WT) or without (</w:t>
      </w:r>
      <w:r w:rsidR="000954C5" w:rsidRPr="006843E7">
        <w:rPr>
          <w:rFonts w:ascii="Calibri" w:eastAsia="Times New Roman" w:hAnsi="Calibri" w:cs="Calibri"/>
          <w:i/>
          <w:iCs/>
        </w:rPr>
        <w:t>ΔrpsU2</w:t>
      </w:r>
      <w:r w:rsidR="000954C5">
        <w:rPr>
          <w:rFonts w:ascii="Calibri" w:eastAsia="Times New Roman" w:hAnsi="Calibri" w:cs="Calibri"/>
        </w:rPr>
        <w:t xml:space="preserve">) bS21-2. </w:t>
      </w:r>
      <w:r w:rsidR="009D00D1">
        <w:rPr>
          <w:rFonts w:ascii="Calibri" w:eastAsia="Times New Roman" w:hAnsi="Calibri" w:cs="Calibri"/>
        </w:rPr>
        <w:t>E</w:t>
      </w:r>
      <w:r w:rsidR="000954C5">
        <w:rPr>
          <w:rFonts w:ascii="Calibri" w:eastAsia="Times New Roman" w:hAnsi="Calibri" w:cs="Calibri"/>
        </w:rPr>
        <w:t xml:space="preserve">xperiments were completed using β-galactosidase reporters incorporated into the genome at the Tn7 site, but difficulty with cloning plasmids that produced high levels of β-galactosidase led to a </w:t>
      </w:r>
      <w:r w:rsidR="009D00D1">
        <w:rPr>
          <w:rFonts w:ascii="Calibri" w:eastAsia="Times New Roman" w:hAnsi="Calibri" w:cs="Calibri"/>
        </w:rPr>
        <w:t>utilize</w:t>
      </w:r>
      <w:r w:rsidR="000954C5">
        <w:rPr>
          <w:rFonts w:ascii="Calibri" w:eastAsia="Times New Roman" w:hAnsi="Calibri" w:cs="Calibri"/>
        </w:rPr>
        <w:t xml:space="preserve"> a GFP-based reporter system</w:t>
      </w:r>
      <w:r w:rsidR="009D00D1">
        <w:rPr>
          <w:rFonts w:ascii="Calibri" w:eastAsia="Times New Roman" w:hAnsi="Calibri" w:cs="Calibri"/>
        </w:rPr>
        <w:t xml:space="preserve"> for some constructs</w:t>
      </w:r>
      <w:r w:rsidR="000954C5">
        <w:rPr>
          <w:rFonts w:ascii="Calibri" w:eastAsia="Times New Roman" w:hAnsi="Calibri" w:cs="Calibri"/>
        </w:rPr>
        <w:t>. GFP was cloned on a multi-copy plasmid which was shown to be retained at a similar copy number in both cells with and without bS21-2 (Figure S1).</w:t>
      </w:r>
    </w:p>
    <w:p w14:paraId="52C26EEE" w14:textId="09CD7F85" w:rsidR="000173A3" w:rsidRDefault="006843E7" w:rsidP="00C01536">
      <w:pPr>
        <w:spacing w:before="100" w:beforeAutospacing="1" w:after="100" w:afterAutospacing="1" w:line="480" w:lineRule="auto"/>
        <w:ind w:firstLine="720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We assayed genes that were found to have significant difference</w:t>
      </w:r>
      <w:r w:rsidR="004A71A9">
        <w:rPr>
          <w:rFonts w:ascii="Calibri" w:eastAsia="Times New Roman" w:hAnsi="Calibri" w:cs="Calibri"/>
        </w:rPr>
        <w:t>s</w:t>
      </w:r>
      <w:r>
        <w:rPr>
          <w:rFonts w:ascii="Calibri" w:eastAsia="Times New Roman" w:hAnsi="Calibri" w:cs="Calibri"/>
        </w:rPr>
        <w:t xml:space="preserve"> in protein</w:t>
      </w:r>
      <w:r w:rsidR="004A71A9">
        <w:rPr>
          <w:rFonts w:ascii="Calibri" w:eastAsia="Times New Roman" w:hAnsi="Calibri" w:cs="Calibri"/>
        </w:rPr>
        <w:t>, but not transcript,</w:t>
      </w:r>
      <w:r>
        <w:rPr>
          <w:rFonts w:ascii="Calibri" w:eastAsia="Times New Roman" w:hAnsi="Calibri" w:cs="Calibri"/>
        </w:rPr>
        <w:t xml:space="preserve"> abundance in</w:t>
      </w:r>
      <w:r w:rsidR="004A71A9">
        <w:rPr>
          <w:rFonts w:ascii="Calibri" w:eastAsia="Times New Roman" w:hAnsi="Calibri" w:cs="Calibri"/>
        </w:rPr>
        <w:t xml:space="preserve"> genome-wide proteomics and RNA-seq screens that were previously published (Trautmann &amp; Ramsey, 2022)</w:t>
      </w:r>
      <w:r>
        <w:rPr>
          <w:rFonts w:ascii="Calibri" w:eastAsia="Times New Roman" w:hAnsi="Calibri" w:cs="Calibri"/>
          <w:i/>
          <w:iCs/>
        </w:rPr>
        <w:t xml:space="preserve">. </w:t>
      </w:r>
      <w:r w:rsidR="004A71A9">
        <w:rPr>
          <w:rFonts w:ascii="Calibri" w:eastAsia="Times New Roman" w:hAnsi="Calibri" w:cs="Calibri"/>
        </w:rPr>
        <w:t>Consistent with our previous research, w</w:t>
      </w:r>
      <w:r w:rsidR="004D1075">
        <w:rPr>
          <w:rFonts w:ascii="Calibri" w:eastAsia="Times New Roman" w:hAnsi="Calibri" w:cs="Calibri"/>
        </w:rPr>
        <w:t xml:space="preserve">e found that there was significantly less </w:t>
      </w:r>
      <w:r w:rsidR="00080A04">
        <w:rPr>
          <w:rFonts w:ascii="Calibri" w:eastAsia="Times New Roman" w:hAnsi="Calibri" w:cs="Calibri"/>
        </w:rPr>
        <w:t>GFP</w:t>
      </w:r>
      <w:r w:rsidR="004A71A9">
        <w:rPr>
          <w:rFonts w:ascii="Calibri" w:eastAsia="Times New Roman" w:hAnsi="Calibri" w:cs="Calibri"/>
        </w:rPr>
        <w:t xml:space="preserve"> produced</w:t>
      </w:r>
      <w:r w:rsidR="004D1075">
        <w:rPr>
          <w:rFonts w:ascii="Calibri" w:eastAsia="Times New Roman" w:hAnsi="Calibri" w:cs="Calibri"/>
        </w:rPr>
        <w:t xml:space="preserve"> in cells lacking bS21-2 </w:t>
      </w:r>
      <w:r w:rsidR="004A71A9">
        <w:rPr>
          <w:rFonts w:ascii="Calibri" w:eastAsia="Times New Roman" w:hAnsi="Calibri" w:cs="Calibri"/>
        </w:rPr>
        <w:t xml:space="preserve">when plasmids contained the 5´UTRs of </w:t>
      </w:r>
      <w:r w:rsidR="004A71A9" w:rsidRPr="004A71A9">
        <w:rPr>
          <w:rFonts w:ascii="Calibri" w:eastAsia="Times New Roman" w:hAnsi="Calibri" w:cs="Calibri"/>
          <w:i/>
          <w:iCs/>
        </w:rPr>
        <w:t>pdpA</w:t>
      </w:r>
      <w:r w:rsidR="004A71A9">
        <w:rPr>
          <w:rFonts w:ascii="Calibri" w:eastAsia="Times New Roman" w:hAnsi="Calibri" w:cs="Calibri"/>
        </w:rPr>
        <w:t xml:space="preserve">, </w:t>
      </w:r>
      <w:proofErr w:type="spellStart"/>
      <w:r w:rsidR="004A71A9" w:rsidRPr="004A71A9">
        <w:rPr>
          <w:rFonts w:ascii="Calibri" w:eastAsia="Times New Roman" w:hAnsi="Calibri" w:cs="Calibri"/>
          <w:i/>
          <w:iCs/>
        </w:rPr>
        <w:t>iglA</w:t>
      </w:r>
      <w:proofErr w:type="spellEnd"/>
      <w:r w:rsidR="004A71A9">
        <w:rPr>
          <w:rFonts w:ascii="Calibri" w:eastAsia="Times New Roman" w:hAnsi="Calibri" w:cs="Calibri"/>
        </w:rPr>
        <w:t xml:space="preserve">, </w:t>
      </w:r>
      <w:r w:rsidR="004A71A9" w:rsidRPr="004A71A9">
        <w:rPr>
          <w:rFonts w:ascii="Calibri" w:eastAsia="Times New Roman" w:hAnsi="Calibri" w:cs="Calibri"/>
          <w:i/>
          <w:iCs/>
        </w:rPr>
        <w:t>mraY</w:t>
      </w:r>
      <w:r w:rsidR="004A71A9">
        <w:rPr>
          <w:rFonts w:ascii="Calibri" w:eastAsia="Times New Roman" w:hAnsi="Calibri" w:cs="Calibri"/>
        </w:rPr>
        <w:t>, FTL_0222, and FTL_1093</w:t>
      </w:r>
      <w:r w:rsidR="00FC1A52">
        <w:rPr>
          <w:rFonts w:ascii="Calibri" w:eastAsia="Times New Roman" w:hAnsi="Calibri" w:cs="Calibri"/>
        </w:rPr>
        <w:t xml:space="preserve"> (Figure 1b)</w:t>
      </w:r>
      <w:r w:rsidR="004A71A9">
        <w:rPr>
          <w:rFonts w:ascii="Calibri" w:eastAsia="Times New Roman" w:hAnsi="Calibri" w:cs="Calibri"/>
        </w:rPr>
        <w:t xml:space="preserve">. </w:t>
      </w:r>
      <w:r w:rsidR="00080A04">
        <w:rPr>
          <w:rFonts w:ascii="Calibri" w:eastAsia="Times New Roman" w:hAnsi="Calibri" w:cs="Calibri"/>
        </w:rPr>
        <w:t>N</w:t>
      </w:r>
      <w:r w:rsidR="004D1075">
        <w:rPr>
          <w:rFonts w:ascii="Calibri" w:eastAsia="Times New Roman" w:hAnsi="Calibri" w:cs="Calibri"/>
        </w:rPr>
        <w:t xml:space="preserve">o significant difference (or slightly more) </w:t>
      </w:r>
      <w:r w:rsidR="00080A04">
        <w:rPr>
          <w:rFonts w:ascii="Calibri" w:eastAsia="Times New Roman" w:hAnsi="Calibri" w:cs="Calibri"/>
        </w:rPr>
        <w:t xml:space="preserve">was detected </w:t>
      </w:r>
      <w:r w:rsidR="004A71A9">
        <w:rPr>
          <w:rFonts w:ascii="Calibri" w:eastAsia="Times New Roman" w:hAnsi="Calibri" w:cs="Calibri"/>
        </w:rPr>
        <w:t>when</w:t>
      </w:r>
      <w:r w:rsidR="004D1075">
        <w:rPr>
          <w:rFonts w:ascii="Calibri" w:eastAsia="Times New Roman" w:hAnsi="Calibri" w:cs="Calibri"/>
        </w:rPr>
        <w:t xml:space="preserve"> the </w:t>
      </w:r>
      <w:r w:rsidR="004D1075" w:rsidRPr="004D1075">
        <w:rPr>
          <w:rFonts w:ascii="Calibri" w:eastAsia="Times New Roman" w:hAnsi="Calibri" w:cs="Calibri"/>
          <w:i/>
          <w:iCs/>
        </w:rPr>
        <w:t>tul4</w:t>
      </w:r>
      <w:r w:rsidR="004D1075">
        <w:rPr>
          <w:rFonts w:ascii="Calibri" w:eastAsia="Times New Roman" w:hAnsi="Calibri" w:cs="Calibri"/>
        </w:rPr>
        <w:t xml:space="preserve"> UTR was used. These data suggest that the 5´UTR of a gene is sufficient to lead to modulation by bS21-2 and is consistent with the idea that bS21 may be regulating translation initiation. </w:t>
      </w:r>
      <w:r w:rsidR="009D00D1">
        <w:rPr>
          <w:rFonts w:ascii="Calibri" w:eastAsia="Times New Roman" w:hAnsi="Calibri" w:cs="Calibri"/>
        </w:rPr>
        <w:t xml:space="preserve">We also found that some genes that were impacted by bS21-2 in our proteomics screen did not lead to differences in protein expression when assaying with </w:t>
      </w:r>
      <w:r w:rsidR="009D00D1">
        <w:rPr>
          <w:rFonts w:ascii="Calibri" w:eastAsia="Times New Roman" w:hAnsi="Calibri" w:cs="Calibri"/>
        </w:rPr>
        <w:lastRenderedPageBreak/>
        <w:t xml:space="preserve">their </w:t>
      </w:r>
      <w:r w:rsidR="009D00D1">
        <w:rPr>
          <w:rFonts w:ascii="Calibri" w:eastAsia="Times New Roman" w:hAnsi="Calibri" w:cs="Calibri"/>
        </w:rPr>
        <w:t>5´</w:t>
      </w:r>
      <w:r w:rsidR="009D00D1">
        <w:rPr>
          <w:rFonts w:ascii="Calibri" w:eastAsia="Times New Roman" w:hAnsi="Calibri" w:cs="Calibri"/>
        </w:rPr>
        <w:t xml:space="preserve">UTR, including FTL_0881 and FTL_0215 (Suppl. Fig 2). This suggests that not all </w:t>
      </w:r>
      <w:r w:rsidR="009D00D1">
        <w:rPr>
          <w:rFonts w:ascii="Calibri" w:eastAsia="Times New Roman" w:hAnsi="Calibri" w:cs="Calibri"/>
        </w:rPr>
        <w:t>5´</w:t>
      </w:r>
      <w:r w:rsidR="009D00D1">
        <w:rPr>
          <w:rFonts w:ascii="Calibri" w:eastAsia="Times New Roman" w:hAnsi="Calibri" w:cs="Calibri"/>
        </w:rPr>
        <w:t>UTRs are impacted in the same way, and there may be other mechanisms used to regulate production of some genes.</w:t>
      </w:r>
    </w:p>
    <w:p w14:paraId="12F42D19" w14:textId="46849970" w:rsidR="00080A04" w:rsidRPr="00080A04" w:rsidRDefault="00245FFF" w:rsidP="00973CB0">
      <w:pPr>
        <w:pStyle w:val="Heading2"/>
        <w:jc w:val="both"/>
        <w:rPr>
          <w:rFonts w:asciiTheme="minorHAnsi" w:eastAsia="Times New Roman" w:hAnsiTheme="minorHAnsi" w:cstheme="minorHAnsi"/>
          <w:b/>
          <w:bCs/>
          <w:i/>
          <w:iCs/>
          <w:color w:val="auto"/>
          <w:sz w:val="24"/>
          <w:szCs w:val="24"/>
        </w:rPr>
      </w:pPr>
      <w:bookmarkStart w:id="0" w:name="_Hlk115266387"/>
      <w:r>
        <w:rPr>
          <w:rFonts w:asciiTheme="minorHAnsi" w:eastAsia="Times New Roman" w:hAnsiTheme="minorHAnsi" w:cstheme="minorHAnsi"/>
          <w:b/>
          <w:bCs/>
          <w:i/>
          <w:iCs/>
          <w:color w:val="auto"/>
          <w:sz w:val="24"/>
          <w:szCs w:val="24"/>
        </w:rPr>
        <w:t>An ideal Shine-Dalgarno compensates for loss of bS21-2</w:t>
      </w:r>
    </w:p>
    <w:bookmarkEnd w:id="0"/>
    <w:p w14:paraId="5EB8FE09" w14:textId="2BBAC55B" w:rsidR="006F2A04" w:rsidRDefault="00C80CA8" w:rsidP="00887F87">
      <w:pPr>
        <w:spacing w:before="100" w:beforeAutospacing="1" w:after="100" w:afterAutospacing="1" w:line="480" w:lineRule="auto"/>
        <w:ind w:firstLine="720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Given the finding that bS21-2 impacts abundance of a reporter protein fused to the </w:t>
      </w:r>
      <w:r w:rsidRPr="00615713">
        <w:rPr>
          <w:rFonts w:ascii="Calibri" w:eastAsia="Times New Roman" w:hAnsi="Calibri" w:cs="Calibri"/>
          <w:i/>
          <w:iCs/>
        </w:rPr>
        <w:t>pdpA</w:t>
      </w:r>
      <w:r>
        <w:rPr>
          <w:rFonts w:ascii="Calibri" w:eastAsia="Times New Roman" w:hAnsi="Calibri" w:cs="Calibri"/>
        </w:rPr>
        <w:t xml:space="preserve"> </w:t>
      </w:r>
      <w:r w:rsidR="00B52C5F">
        <w:rPr>
          <w:rFonts w:ascii="Calibri" w:eastAsia="Times New Roman" w:hAnsi="Calibri" w:cs="Calibri"/>
        </w:rPr>
        <w:t>5´</w:t>
      </w:r>
      <w:r>
        <w:rPr>
          <w:rFonts w:ascii="Calibri" w:eastAsia="Times New Roman" w:hAnsi="Calibri" w:cs="Calibri"/>
        </w:rPr>
        <w:t xml:space="preserve">UTR, we examined </w:t>
      </w:r>
      <w:r w:rsidR="00615713">
        <w:rPr>
          <w:rFonts w:ascii="Calibri" w:eastAsia="Times New Roman" w:hAnsi="Calibri" w:cs="Calibri"/>
        </w:rPr>
        <w:t>features</w:t>
      </w:r>
      <w:r>
        <w:rPr>
          <w:rFonts w:ascii="Calibri" w:eastAsia="Times New Roman" w:hAnsi="Calibri" w:cs="Calibri"/>
        </w:rPr>
        <w:t xml:space="preserve"> of the </w:t>
      </w:r>
      <w:r w:rsidRPr="00615713">
        <w:rPr>
          <w:rFonts w:ascii="Calibri" w:eastAsia="Times New Roman" w:hAnsi="Calibri" w:cs="Calibri"/>
          <w:i/>
          <w:iCs/>
        </w:rPr>
        <w:t>pdpA</w:t>
      </w:r>
      <w:r>
        <w:rPr>
          <w:rFonts w:ascii="Calibri" w:eastAsia="Times New Roman" w:hAnsi="Calibri" w:cs="Calibri"/>
        </w:rPr>
        <w:t xml:space="preserve"> UTR that </w:t>
      </w:r>
      <w:r w:rsidR="00615713">
        <w:rPr>
          <w:rFonts w:ascii="Calibri" w:eastAsia="Times New Roman" w:hAnsi="Calibri" w:cs="Calibri"/>
        </w:rPr>
        <w:t>may lead to preferential translation from ribosomes containing bS21-2</w:t>
      </w:r>
      <w:r w:rsidR="0031792A">
        <w:rPr>
          <w:rFonts w:ascii="Calibri" w:eastAsia="Times New Roman" w:hAnsi="Calibri" w:cs="Calibri"/>
        </w:rPr>
        <w:t>.</w:t>
      </w:r>
      <w:r w:rsidR="00615713">
        <w:rPr>
          <w:rFonts w:ascii="Calibri" w:eastAsia="Times New Roman" w:hAnsi="Calibri" w:cs="Calibri"/>
        </w:rPr>
        <w:t xml:space="preserve"> </w:t>
      </w:r>
      <w:r w:rsidR="00B52C5F">
        <w:rPr>
          <w:rFonts w:ascii="Calibri" w:eastAsia="Times New Roman" w:hAnsi="Calibri" w:cs="Calibri"/>
        </w:rPr>
        <w:t xml:space="preserve">Based on </w:t>
      </w:r>
      <w:r w:rsidR="00644E8D">
        <w:rPr>
          <w:rFonts w:ascii="Calibri" w:eastAsia="Times New Roman" w:hAnsi="Calibri" w:cs="Calibri"/>
        </w:rPr>
        <w:t>cryo-EM</w:t>
      </w:r>
      <w:r w:rsidR="00B52C5F">
        <w:rPr>
          <w:rFonts w:ascii="Calibri" w:eastAsia="Times New Roman" w:hAnsi="Calibri" w:cs="Calibri"/>
        </w:rPr>
        <w:t xml:space="preserve"> </w:t>
      </w:r>
      <w:r w:rsidR="00644E8D">
        <w:rPr>
          <w:rFonts w:ascii="Calibri" w:eastAsia="Times New Roman" w:hAnsi="Calibri" w:cs="Calibri"/>
        </w:rPr>
        <w:t>structures</w:t>
      </w:r>
      <w:r w:rsidR="00B52C5F">
        <w:rPr>
          <w:rFonts w:ascii="Calibri" w:eastAsia="Times New Roman" w:hAnsi="Calibri" w:cs="Calibri"/>
        </w:rPr>
        <w:t xml:space="preserve"> of the</w:t>
      </w:r>
      <w:r w:rsidR="00B52C5F" w:rsidRPr="00B52C5F">
        <w:t xml:space="preserve"> </w:t>
      </w:r>
      <w:r w:rsidR="00B52C5F" w:rsidRPr="00615713">
        <w:rPr>
          <w:rFonts w:ascii="Calibri" w:eastAsia="Times New Roman" w:hAnsi="Calibri" w:cs="Calibri"/>
          <w:i/>
          <w:iCs/>
        </w:rPr>
        <w:t>E. coli</w:t>
      </w:r>
      <w:r w:rsidR="00B52C5F">
        <w:rPr>
          <w:rFonts w:ascii="Calibri" w:eastAsia="Times New Roman" w:hAnsi="Calibri" w:cs="Calibri"/>
        </w:rPr>
        <w:t xml:space="preserve"> ribosome</w:t>
      </w:r>
      <w:r w:rsidR="00644E8D">
        <w:rPr>
          <w:rFonts w:ascii="Calibri" w:eastAsia="Times New Roman" w:hAnsi="Calibri" w:cs="Calibri"/>
        </w:rPr>
        <w:t xml:space="preserve"> during translation initiation</w:t>
      </w:r>
      <w:r w:rsidR="00B52C5F">
        <w:rPr>
          <w:rFonts w:ascii="Calibri" w:eastAsia="Times New Roman" w:hAnsi="Calibri" w:cs="Calibri"/>
        </w:rPr>
        <w:t xml:space="preserve">, the bS21 residue R17 appears to make direct contacts with the anti-Shine Dalgarno sequence of the 16S rRNA </w:t>
      </w:r>
      <w:r w:rsidR="000D3D3F">
        <w:rPr>
          <w:rFonts w:ascii="Calibri" w:eastAsia="Times New Roman" w:hAnsi="Calibri" w:cs="Calibri"/>
        </w:rPr>
        <w:t xml:space="preserve">at C1529 </w:t>
      </w:r>
      <w:r w:rsidR="00B52C5F">
        <w:t>(</w:t>
      </w:r>
      <w:proofErr w:type="spellStart"/>
      <w:r w:rsidR="00B52C5F" w:rsidRPr="00B52C5F">
        <w:rPr>
          <w:rFonts w:ascii="Calibri" w:eastAsia="Times New Roman" w:hAnsi="Calibri" w:cs="Calibri"/>
        </w:rPr>
        <w:t>Kaledhonkar</w:t>
      </w:r>
      <w:proofErr w:type="spellEnd"/>
      <w:r w:rsidR="00B52C5F" w:rsidRPr="00B52C5F">
        <w:rPr>
          <w:rFonts w:ascii="Calibri" w:eastAsia="Times New Roman" w:hAnsi="Calibri" w:cs="Calibri"/>
        </w:rPr>
        <w:t xml:space="preserve"> et al. 2019</w:t>
      </w:r>
      <w:r w:rsidR="00B52C5F">
        <w:rPr>
          <w:rFonts w:ascii="Calibri" w:eastAsia="Times New Roman" w:hAnsi="Calibri" w:cs="Calibri"/>
        </w:rPr>
        <w:t xml:space="preserve">). R17 is conserved in all three of the </w:t>
      </w:r>
      <w:r w:rsidR="00B52C5F">
        <w:rPr>
          <w:rFonts w:ascii="Calibri" w:eastAsia="Times New Roman" w:hAnsi="Calibri" w:cs="Calibri"/>
          <w:i/>
          <w:iCs/>
        </w:rPr>
        <w:t xml:space="preserve">F. tularensis </w:t>
      </w:r>
      <w:r w:rsidR="00B52C5F">
        <w:rPr>
          <w:rFonts w:ascii="Calibri" w:eastAsia="Times New Roman" w:hAnsi="Calibri" w:cs="Calibri"/>
        </w:rPr>
        <w:t>bS21</w:t>
      </w:r>
      <w:r w:rsidR="00B52C5F" w:rsidRPr="00B52C5F">
        <w:rPr>
          <w:rFonts w:ascii="Calibri" w:eastAsia="Times New Roman" w:hAnsi="Calibri" w:cs="Calibri"/>
          <w:i/>
          <w:iCs/>
        </w:rPr>
        <w:t xml:space="preserve"> </w:t>
      </w:r>
      <w:r w:rsidR="00B52C5F">
        <w:rPr>
          <w:rFonts w:ascii="Calibri" w:eastAsia="Times New Roman" w:hAnsi="Calibri" w:cs="Calibri"/>
        </w:rPr>
        <w:t>homologs,</w:t>
      </w:r>
      <w:r w:rsidR="000D3D3F">
        <w:rPr>
          <w:rFonts w:ascii="Calibri" w:eastAsia="Times New Roman" w:hAnsi="Calibri" w:cs="Calibri"/>
        </w:rPr>
        <w:t xml:space="preserve"> and the ASD is identical</w:t>
      </w:r>
      <w:r w:rsidR="00644E8D">
        <w:rPr>
          <w:rFonts w:ascii="Calibri" w:eastAsia="Times New Roman" w:hAnsi="Calibri" w:cs="Calibri"/>
        </w:rPr>
        <w:t xml:space="preserve"> in </w:t>
      </w:r>
      <w:r w:rsidR="00644E8D">
        <w:rPr>
          <w:rFonts w:ascii="Calibri" w:eastAsia="Times New Roman" w:hAnsi="Calibri" w:cs="Calibri"/>
          <w:i/>
          <w:iCs/>
        </w:rPr>
        <w:t xml:space="preserve">F. tularensis </w:t>
      </w:r>
      <w:r w:rsidR="00644E8D">
        <w:rPr>
          <w:rFonts w:ascii="Calibri" w:eastAsia="Times New Roman" w:hAnsi="Calibri" w:cs="Calibri"/>
        </w:rPr>
        <w:t xml:space="preserve">and </w:t>
      </w:r>
      <w:r w:rsidR="00644E8D">
        <w:rPr>
          <w:rFonts w:ascii="Calibri" w:eastAsia="Times New Roman" w:hAnsi="Calibri" w:cs="Calibri"/>
          <w:i/>
          <w:iCs/>
        </w:rPr>
        <w:t>E. coli</w:t>
      </w:r>
      <w:r w:rsidR="000D3D3F">
        <w:rPr>
          <w:rFonts w:ascii="Calibri" w:eastAsia="Times New Roman" w:hAnsi="Calibri" w:cs="Calibri"/>
        </w:rPr>
        <w:t>,</w:t>
      </w:r>
      <w:r w:rsidR="00B52C5F">
        <w:rPr>
          <w:rFonts w:ascii="Calibri" w:eastAsia="Times New Roman" w:hAnsi="Calibri" w:cs="Calibri"/>
        </w:rPr>
        <w:t xml:space="preserve"> leading us to hypothesize that this structure </w:t>
      </w:r>
      <w:r w:rsidR="00644E8D">
        <w:rPr>
          <w:rFonts w:ascii="Calibri" w:eastAsia="Times New Roman" w:hAnsi="Calibri" w:cs="Calibri"/>
        </w:rPr>
        <w:t>may be</w:t>
      </w:r>
      <w:r w:rsidR="00B52C5F">
        <w:rPr>
          <w:rFonts w:ascii="Calibri" w:eastAsia="Times New Roman" w:hAnsi="Calibri" w:cs="Calibri"/>
        </w:rPr>
        <w:t xml:space="preserve"> consistent in </w:t>
      </w:r>
      <w:r w:rsidR="00B52C5F" w:rsidRPr="000D3D3F">
        <w:rPr>
          <w:rFonts w:ascii="Calibri" w:eastAsia="Times New Roman" w:hAnsi="Calibri" w:cs="Calibri"/>
          <w:i/>
          <w:iCs/>
        </w:rPr>
        <w:t>Francisella</w:t>
      </w:r>
      <w:r w:rsidR="00644E8D">
        <w:rPr>
          <w:rFonts w:ascii="Calibri" w:eastAsia="Times New Roman" w:hAnsi="Calibri" w:cs="Calibri"/>
        </w:rPr>
        <w:t xml:space="preserve"> such that</w:t>
      </w:r>
      <w:r w:rsidR="00B52C5F">
        <w:rPr>
          <w:rFonts w:ascii="Calibri" w:eastAsia="Times New Roman" w:hAnsi="Calibri" w:cs="Calibri"/>
        </w:rPr>
        <w:t xml:space="preserve"> bS21</w:t>
      </w:r>
      <w:r w:rsidR="00644E8D">
        <w:rPr>
          <w:rFonts w:ascii="Calibri" w:eastAsia="Times New Roman" w:hAnsi="Calibri" w:cs="Calibri"/>
        </w:rPr>
        <w:t xml:space="preserve"> homologs</w:t>
      </w:r>
      <w:r w:rsidR="00B52C5F">
        <w:rPr>
          <w:rFonts w:ascii="Calibri" w:eastAsia="Times New Roman" w:hAnsi="Calibri" w:cs="Calibri"/>
        </w:rPr>
        <w:t xml:space="preserve"> may be contacting the ASD and impacting SD-ASD binding.</w:t>
      </w:r>
      <w:r w:rsidR="00615713">
        <w:rPr>
          <w:rFonts w:ascii="Calibri" w:eastAsia="Times New Roman" w:hAnsi="Calibri" w:cs="Calibri"/>
        </w:rPr>
        <w:t xml:space="preserve"> We developed </w:t>
      </w:r>
      <w:r w:rsidR="00394580">
        <w:rPr>
          <w:rFonts w:ascii="Calibri" w:eastAsia="Times New Roman" w:hAnsi="Calibri" w:cs="Calibri"/>
        </w:rPr>
        <w:t xml:space="preserve">β-galactosidase </w:t>
      </w:r>
      <w:r w:rsidR="00615713">
        <w:rPr>
          <w:rFonts w:ascii="Calibri" w:eastAsia="Times New Roman" w:hAnsi="Calibri" w:cs="Calibri"/>
        </w:rPr>
        <w:t>reporters with altered Shine</w:t>
      </w:r>
      <w:r w:rsidR="000D2D7A">
        <w:rPr>
          <w:rFonts w:ascii="Calibri" w:eastAsia="Times New Roman" w:hAnsi="Calibri" w:cs="Calibri"/>
        </w:rPr>
        <w:t>-</w:t>
      </w:r>
      <w:r w:rsidR="00615713">
        <w:rPr>
          <w:rFonts w:ascii="Calibri" w:eastAsia="Times New Roman" w:hAnsi="Calibri" w:cs="Calibri"/>
        </w:rPr>
        <w:t xml:space="preserve">Dalgarno sequences in the </w:t>
      </w:r>
      <w:r w:rsidR="00615713" w:rsidRPr="00615713">
        <w:rPr>
          <w:rFonts w:ascii="Calibri" w:eastAsia="Times New Roman" w:hAnsi="Calibri" w:cs="Calibri"/>
          <w:i/>
          <w:iCs/>
        </w:rPr>
        <w:t>pdpA</w:t>
      </w:r>
      <w:r w:rsidR="00615713">
        <w:rPr>
          <w:rFonts w:ascii="Calibri" w:eastAsia="Times New Roman" w:hAnsi="Calibri" w:cs="Calibri"/>
        </w:rPr>
        <w:t xml:space="preserve"> UTR</w:t>
      </w:r>
      <w:r w:rsidR="00CD1587">
        <w:rPr>
          <w:rFonts w:ascii="Calibri" w:eastAsia="Times New Roman" w:hAnsi="Calibri" w:cs="Calibri"/>
        </w:rPr>
        <w:t xml:space="preserve"> to test this hypothesis</w:t>
      </w:r>
      <w:r w:rsidR="00FC1A52">
        <w:rPr>
          <w:rFonts w:ascii="Calibri" w:eastAsia="Times New Roman" w:hAnsi="Calibri" w:cs="Calibri"/>
        </w:rPr>
        <w:t xml:space="preserve"> (Figure 2a)</w:t>
      </w:r>
      <w:r w:rsidR="00615713">
        <w:rPr>
          <w:rFonts w:ascii="Calibri" w:eastAsia="Times New Roman" w:hAnsi="Calibri" w:cs="Calibri"/>
        </w:rPr>
        <w:t>. Any sequence change that maintained a non-perfect SD (</w:t>
      </w:r>
      <w:r w:rsidR="00394580">
        <w:rPr>
          <w:rFonts w:ascii="Calibri" w:eastAsia="Times New Roman" w:hAnsi="Calibri" w:cs="Calibri"/>
        </w:rPr>
        <w:t xml:space="preserve">bad SD, </w:t>
      </w:r>
      <w:r w:rsidR="00394580" w:rsidRPr="00394580">
        <w:rPr>
          <w:rFonts w:ascii="Calibri" w:eastAsia="Times New Roman" w:hAnsi="Calibri" w:cs="Calibri"/>
          <w:i/>
          <w:iCs/>
        </w:rPr>
        <w:t>tul4</w:t>
      </w:r>
      <w:r w:rsidR="00394580">
        <w:rPr>
          <w:rFonts w:ascii="Calibri" w:eastAsia="Times New Roman" w:hAnsi="Calibri" w:cs="Calibri"/>
          <w:i/>
          <w:iCs/>
        </w:rPr>
        <w:t xml:space="preserve"> </w:t>
      </w:r>
      <w:r w:rsidR="00394580">
        <w:rPr>
          <w:rFonts w:ascii="Calibri" w:eastAsia="Times New Roman" w:hAnsi="Calibri" w:cs="Calibri"/>
        </w:rPr>
        <w:t xml:space="preserve">SD) resulted in the same relative protein production between cells with and without bS21-2 as with the wild-type </w:t>
      </w:r>
      <w:r w:rsidR="00394580" w:rsidRPr="00394580">
        <w:rPr>
          <w:rFonts w:ascii="Calibri" w:eastAsia="Times New Roman" w:hAnsi="Calibri" w:cs="Calibri"/>
          <w:i/>
          <w:iCs/>
        </w:rPr>
        <w:t>pdpA</w:t>
      </w:r>
      <w:r w:rsidR="00394580">
        <w:rPr>
          <w:rFonts w:ascii="Calibri" w:eastAsia="Times New Roman" w:hAnsi="Calibri" w:cs="Calibri"/>
        </w:rPr>
        <w:t xml:space="preserve"> SD. An ideal Shine</w:t>
      </w:r>
      <w:r w:rsidR="000D2D7A">
        <w:rPr>
          <w:rFonts w:ascii="Calibri" w:eastAsia="Times New Roman" w:hAnsi="Calibri" w:cs="Calibri"/>
        </w:rPr>
        <w:t>-</w:t>
      </w:r>
      <w:r w:rsidR="00394580">
        <w:rPr>
          <w:rFonts w:ascii="Calibri" w:eastAsia="Times New Roman" w:hAnsi="Calibri" w:cs="Calibri"/>
        </w:rPr>
        <w:t xml:space="preserve">Dalgarno, </w:t>
      </w:r>
      <w:r w:rsidR="000D3D3F">
        <w:rPr>
          <w:rFonts w:ascii="Calibri" w:eastAsia="Times New Roman" w:hAnsi="Calibri" w:cs="Calibri"/>
        </w:rPr>
        <w:t>examined in two different positions (ideal SD, moved SD)</w:t>
      </w:r>
      <w:r w:rsidR="000D2D7A">
        <w:rPr>
          <w:rFonts w:ascii="Calibri" w:eastAsia="Times New Roman" w:hAnsi="Calibri" w:cs="Calibri"/>
        </w:rPr>
        <w:t>,</w:t>
      </w:r>
      <w:r w:rsidR="00394580">
        <w:rPr>
          <w:rFonts w:ascii="Calibri" w:eastAsia="Times New Roman" w:hAnsi="Calibri" w:cs="Calibri"/>
        </w:rPr>
        <w:t xml:space="preserve"> resulted in more production of β-galactosidase in cells without bS21-2</w:t>
      </w:r>
      <w:r w:rsidR="00FC1A52">
        <w:rPr>
          <w:rFonts w:ascii="Calibri" w:eastAsia="Times New Roman" w:hAnsi="Calibri" w:cs="Calibri"/>
        </w:rPr>
        <w:t xml:space="preserve"> (Figure 2b)</w:t>
      </w:r>
      <w:r w:rsidR="00394580">
        <w:rPr>
          <w:rFonts w:ascii="Calibri" w:eastAsia="Times New Roman" w:hAnsi="Calibri" w:cs="Calibri"/>
        </w:rPr>
        <w:t>. These data suggest that genes with perfect Shine</w:t>
      </w:r>
      <w:r w:rsidR="000D2D7A">
        <w:rPr>
          <w:rFonts w:ascii="Calibri" w:eastAsia="Times New Roman" w:hAnsi="Calibri" w:cs="Calibri"/>
        </w:rPr>
        <w:t>-</w:t>
      </w:r>
      <w:r w:rsidR="00394580">
        <w:rPr>
          <w:rFonts w:ascii="Calibri" w:eastAsia="Times New Roman" w:hAnsi="Calibri" w:cs="Calibri"/>
        </w:rPr>
        <w:t>Dalgarno sequences do not require bS21-2 for efficient translation</w:t>
      </w:r>
      <w:r w:rsidR="00245FFF">
        <w:rPr>
          <w:rFonts w:ascii="Calibri" w:eastAsia="Times New Roman" w:hAnsi="Calibri" w:cs="Calibri"/>
        </w:rPr>
        <w:t>; in other words, an ideal Shine</w:t>
      </w:r>
      <w:r w:rsidR="000D2D7A">
        <w:rPr>
          <w:rFonts w:ascii="Calibri" w:eastAsia="Times New Roman" w:hAnsi="Calibri" w:cs="Calibri"/>
        </w:rPr>
        <w:t>-</w:t>
      </w:r>
      <w:r w:rsidR="00245FFF">
        <w:rPr>
          <w:rFonts w:ascii="Calibri" w:eastAsia="Times New Roman" w:hAnsi="Calibri" w:cs="Calibri"/>
        </w:rPr>
        <w:t>Dalgarno compensates for loss of bS21-2</w:t>
      </w:r>
      <w:r w:rsidR="00394580">
        <w:rPr>
          <w:rFonts w:ascii="Calibri" w:eastAsia="Times New Roman" w:hAnsi="Calibri" w:cs="Calibri"/>
        </w:rPr>
        <w:t xml:space="preserve">. However, </w:t>
      </w:r>
      <w:r w:rsidR="006F2A04">
        <w:rPr>
          <w:rFonts w:ascii="Calibri" w:eastAsia="Times New Roman" w:hAnsi="Calibri" w:cs="Calibri"/>
        </w:rPr>
        <w:t xml:space="preserve">there are many genes not impacted by bS21-2 that have non-perfect SDs (i.e. </w:t>
      </w:r>
      <w:r w:rsidR="006F2A04" w:rsidRPr="006F2A04">
        <w:rPr>
          <w:rFonts w:ascii="Calibri" w:eastAsia="Times New Roman" w:hAnsi="Calibri" w:cs="Calibri"/>
          <w:i/>
          <w:iCs/>
        </w:rPr>
        <w:t>tul4</w:t>
      </w:r>
      <w:r w:rsidR="006F2A04">
        <w:rPr>
          <w:rFonts w:ascii="Calibri" w:eastAsia="Times New Roman" w:hAnsi="Calibri" w:cs="Calibri"/>
        </w:rPr>
        <w:t>), suggesting there is another component of the 5´UTR that leads to increased translation in cells with bS21-2.</w:t>
      </w:r>
    </w:p>
    <w:p w14:paraId="797BBCD4" w14:textId="5E8ECC31" w:rsidR="007C7802" w:rsidRDefault="00DA43E1" w:rsidP="00973CB0">
      <w:pPr>
        <w:pStyle w:val="Heading2"/>
        <w:jc w:val="both"/>
        <w:rPr>
          <w:rFonts w:asciiTheme="minorHAnsi" w:eastAsia="Times New Roman" w:hAnsiTheme="minorHAnsi" w:cstheme="minorHAnsi"/>
          <w:b/>
          <w:bCs/>
          <w:i/>
          <w:iCs/>
          <w:color w:val="auto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i/>
          <w:iCs/>
          <w:color w:val="auto"/>
          <w:sz w:val="24"/>
          <w:szCs w:val="24"/>
        </w:rPr>
        <w:lastRenderedPageBreak/>
        <w:t>Predicted s</w:t>
      </w:r>
      <w:r w:rsidR="007C7802" w:rsidRPr="007C7802">
        <w:rPr>
          <w:rFonts w:asciiTheme="minorHAnsi" w:eastAsia="Times New Roman" w:hAnsiTheme="minorHAnsi" w:cstheme="minorHAnsi"/>
          <w:b/>
          <w:bCs/>
          <w:i/>
          <w:iCs/>
          <w:color w:val="auto"/>
          <w:sz w:val="24"/>
          <w:szCs w:val="24"/>
        </w:rPr>
        <w:t>econdary structure of 5´UTRs does not impact bS21-2 modulation</w:t>
      </w:r>
    </w:p>
    <w:p w14:paraId="03863253" w14:textId="3AFC90B0" w:rsidR="007C7802" w:rsidRDefault="007C7802" w:rsidP="00973CB0">
      <w:pPr>
        <w:spacing w:before="240" w:line="480" w:lineRule="auto"/>
        <w:ind w:firstLine="720"/>
        <w:jc w:val="both"/>
      </w:pPr>
      <w:r>
        <w:t xml:space="preserve">The secondary structure of mRNA molecules has long been known to impact translation initiation (Hall et al. 1982; de Smit and Van Duin 1994). We hypothesized that the secondary structure of mRNAs that are differentially expressed in cells with or without bS21-2 may </w:t>
      </w:r>
      <w:r w:rsidR="00550743">
        <w:t xml:space="preserve">play a role </w:t>
      </w:r>
      <w:r>
        <w:t xml:space="preserve">in </w:t>
      </w:r>
      <w:r w:rsidR="00550743">
        <w:t>altered translation</w:t>
      </w:r>
      <w:r>
        <w:t xml:space="preserve">. We predicted the secondary structure of the </w:t>
      </w:r>
      <w:r>
        <w:rPr>
          <w:i/>
          <w:iCs/>
        </w:rPr>
        <w:t xml:space="preserve">pdpA </w:t>
      </w:r>
      <w:r>
        <w:t>5</w:t>
      </w:r>
      <w:r>
        <w:rPr>
          <w:rFonts w:cstheme="minorHAnsi"/>
        </w:rPr>
        <w:t>´</w:t>
      </w:r>
      <w:r>
        <w:t xml:space="preserve">UTR using </w:t>
      </w:r>
      <w:proofErr w:type="spellStart"/>
      <w:r>
        <w:t>RNAfold</w:t>
      </w:r>
      <w:proofErr w:type="spellEnd"/>
      <w:r>
        <w:t>, made targeted mutations to disrupt the predicted stem-loop structure</w:t>
      </w:r>
      <w:r w:rsidR="00550743">
        <w:t xml:space="preserve">, and generated </w:t>
      </w:r>
      <w:r w:rsidR="00550743">
        <w:rPr>
          <w:rFonts w:cstheme="minorHAnsi"/>
        </w:rPr>
        <w:t>β</w:t>
      </w:r>
      <w:r w:rsidR="00550743">
        <w:t xml:space="preserve">-galactosidase reporters at the Tn7 site in LVS and </w:t>
      </w:r>
      <w:r w:rsidR="00550743">
        <w:rPr>
          <w:rFonts w:cstheme="minorHAnsi"/>
        </w:rPr>
        <w:t>Δ</w:t>
      </w:r>
      <w:r w:rsidR="00550743">
        <w:t xml:space="preserve">bS21-2 </w:t>
      </w:r>
      <w:r>
        <w:t xml:space="preserve">(Figure </w:t>
      </w:r>
      <w:r w:rsidR="00FC1A52">
        <w:t>3a</w:t>
      </w:r>
      <w:r>
        <w:t xml:space="preserve">). We </w:t>
      </w:r>
      <w:r w:rsidR="00550743">
        <w:t>also</w:t>
      </w:r>
      <w:r>
        <w:t xml:space="preserve"> made complementary mutations to revert the secondary structure without maintaining the original sequence. </w:t>
      </w:r>
      <w:r w:rsidR="00245FFF">
        <w:t xml:space="preserve">Though there were changes in overall production of </w:t>
      </w:r>
      <w:r w:rsidR="00245FFF">
        <w:rPr>
          <w:rFonts w:cstheme="minorHAnsi"/>
        </w:rPr>
        <w:t>β</w:t>
      </w:r>
      <w:r w:rsidR="00245FFF">
        <w:t>-galactosidase f</w:t>
      </w:r>
      <w:r w:rsidR="00550743">
        <w:t>or</w:t>
      </w:r>
      <w:r>
        <w:t xml:space="preserve"> each of these </w:t>
      </w:r>
      <w:r w:rsidR="00550743">
        <w:t>mutations</w:t>
      </w:r>
      <w:r>
        <w:t xml:space="preserve">, the </w:t>
      </w:r>
      <w:r w:rsidR="00245FFF">
        <w:t>ratio of</w:t>
      </w:r>
      <w:r>
        <w:t xml:space="preserve"> translation between LVS and </w:t>
      </w:r>
      <w:r>
        <w:rPr>
          <w:rFonts w:cstheme="minorHAnsi"/>
        </w:rPr>
        <w:t>Δ</w:t>
      </w:r>
      <w:r>
        <w:t>bS21-2 was not impacted, suggesting that secondary structure of this UTR does</w:t>
      </w:r>
      <w:r w:rsidR="00550743">
        <w:t xml:space="preserve"> not play a role in translation modulation by bS21-2.</w:t>
      </w:r>
      <w:r w:rsidR="000D3D3F">
        <w:t xml:space="preserve"> </w:t>
      </w:r>
    </w:p>
    <w:p w14:paraId="7176F0FC" w14:textId="21CAFF86" w:rsidR="000D3D3F" w:rsidRDefault="000D3D3F" w:rsidP="00973CB0">
      <w:pPr>
        <w:spacing w:before="240" w:line="480" w:lineRule="auto"/>
        <w:ind w:firstLine="720"/>
        <w:jc w:val="both"/>
      </w:pPr>
      <w:r>
        <w:t>We additionally looked at structural motifs in a more complex 5</w:t>
      </w:r>
      <w:r>
        <w:rPr>
          <w:rFonts w:cstheme="minorHAnsi"/>
        </w:rPr>
        <w:t>´</w:t>
      </w:r>
      <w:r>
        <w:t xml:space="preserve">UTR, </w:t>
      </w:r>
      <w:r>
        <w:rPr>
          <w:i/>
          <w:iCs/>
        </w:rPr>
        <w:t xml:space="preserve">mraY. </w:t>
      </w:r>
      <w:r>
        <w:t>Secondary structure predictions identified the wild-type 5</w:t>
      </w:r>
      <w:r>
        <w:rPr>
          <w:rFonts w:cstheme="minorHAnsi"/>
        </w:rPr>
        <w:t>´</w:t>
      </w:r>
      <w:r>
        <w:t xml:space="preserve">UTR of </w:t>
      </w:r>
      <w:r>
        <w:rPr>
          <w:i/>
          <w:iCs/>
        </w:rPr>
        <w:t xml:space="preserve">mraY </w:t>
      </w:r>
      <w:r>
        <w:t>contains a single, large stem-loop with one internal, one terminal loop, and an unstructured 5</w:t>
      </w:r>
      <w:r>
        <w:rPr>
          <w:rFonts w:cstheme="minorHAnsi"/>
        </w:rPr>
        <w:t>´ tail. A number of mutations were made that impacted this secondary structure but did not impact that ratio of GFP production between LVS and Δ</w:t>
      </w:r>
      <w:r>
        <w:t>bS21-2, thereby eliminating each of these structural motifs as important for bS21-2 -impacted translation: existence of an interior loop, length of the stem, size of the terminal loop, and presence of a 5</w:t>
      </w:r>
      <w:r>
        <w:rPr>
          <w:rFonts w:cstheme="minorHAnsi"/>
        </w:rPr>
        <w:t>´ tail</w:t>
      </w:r>
      <w:r w:rsidR="004A6227">
        <w:rPr>
          <w:rFonts w:cstheme="minorHAnsi"/>
        </w:rPr>
        <w:t xml:space="preserve"> (maybe supplemental figure with mut 1, 2, 4, 9?)</w:t>
      </w:r>
      <w:r>
        <w:rPr>
          <w:rFonts w:cstheme="minorHAnsi"/>
        </w:rPr>
        <w:t>. Most significant was mutation 9 which was predicted to have no secondary structure, yet still shows a difference in translation between LVS and Δ</w:t>
      </w:r>
      <w:r>
        <w:t>bS21-2</w:t>
      </w:r>
      <w:r w:rsidR="00FC1A52">
        <w:t xml:space="preserve"> (Figure 3b)</w:t>
      </w:r>
      <w:r>
        <w:t xml:space="preserve">. These data support the </w:t>
      </w:r>
      <w:r w:rsidRPr="000D3D3F">
        <w:rPr>
          <w:i/>
          <w:iCs/>
        </w:rPr>
        <w:t>pdpA</w:t>
      </w:r>
      <w:r>
        <w:t xml:space="preserve"> findings that no specific secondary structure is necessary for translation to be impacted by bS21-2.</w:t>
      </w:r>
    </w:p>
    <w:p w14:paraId="03B98B9A" w14:textId="6C85F0B1" w:rsidR="007F5FB1" w:rsidRPr="000D3D3F" w:rsidRDefault="007F5FB1" w:rsidP="007F5FB1">
      <w:pPr>
        <w:spacing w:before="240" w:line="480" w:lineRule="auto"/>
        <w:jc w:val="both"/>
      </w:pPr>
      <w:r>
        <w:lastRenderedPageBreak/>
        <w:t>***If mutation 11 which assesses the AUG binding is deemed to be important, then add a paragraph here and potentially move this entire section to later in the manuscript (after MEME and mraY truncations)</w:t>
      </w:r>
    </w:p>
    <w:p w14:paraId="5368AE1F" w14:textId="4B7610B4" w:rsidR="00EA1BAA" w:rsidRPr="00C01536" w:rsidRDefault="003668B9" w:rsidP="005E475A">
      <w:pPr>
        <w:pStyle w:val="Heading2"/>
        <w:spacing w:line="480" w:lineRule="auto"/>
        <w:jc w:val="both"/>
        <w:rPr>
          <w:rFonts w:ascii="Calibri" w:eastAsia="Times New Roman" w:hAnsi="Calibri" w:cs="Calibri"/>
          <w:b/>
          <w:bCs/>
          <w:i/>
          <w:iCs/>
          <w:color w:val="auto"/>
          <w:sz w:val="24"/>
          <w:szCs w:val="24"/>
        </w:rPr>
      </w:pPr>
      <w:r>
        <w:rPr>
          <w:rFonts w:ascii="Calibri" w:eastAsia="Times New Roman" w:hAnsi="Calibri" w:cs="Calibri"/>
          <w:b/>
          <w:bCs/>
          <w:i/>
          <w:iCs/>
          <w:color w:val="auto"/>
          <w:sz w:val="24"/>
          <w:szCs w:val="24"/>
        </w:rPr>
        <w:t>S</w:t>
      </w:r>
      <w:r w:rsidR="006F2A04" w:rsidRPr="00C01536">
        <w:rPr>
          <w:rFonts w:ascii="Calibri" w:eastAsia="Times New Roman" w:hAnsi="Calibri" w:cs="Calibri"/>
          <w:b/>
          <w:bCs/>
          <w:i/>
          <w:iCs/>
          <w:color w:val="auto"/>
          <w:sz w:val="24"/>
          <w:szCs w:val="24"/>
        </w:rPr>
        <w:t>equence</w:t>
      </w:r>
      <w:r>
        <w:rPr>
          <w:rFonts w:ascii="Calibri" w:eastAsia="Times New Roman" w:hAnsi="Calibri" w:cs="Calibri"/>
          <w:b/>
          <w:bCs/>
          <w:i/>
          <w:iCs/>
          <w:color w:val="auto"/>
          <w:sz w:val="24"/>
          <w:szCs w:val="24"/>
        </w:rPr>
        <w:t>-specific</w:t>
      </w:r>
      <w:r w:rsidR="006F2A04" w:rsidRPr="00C01536">
        <w:rPr>
          <w:rFonts w:ascii="Calibri" w:eastAsia="Times New Roman" w:hAnsi="Calibri" w:cs="Calibri"/>
          <w:b/>
          <w:bCs/>
          <w:i/>
          <w:iCs/>
          <w:color w:val="auto"/>
          <w:sz w:val="24"/>
          <w:szCs w:val="24"/>
        </w:rPr>
        <w:t xml:space="preserve"> motif</w:t>
      </w:r>
      <w:r>
        <w:rPr>
          <w:rFonts w:ascii="Calibri" w:eastAsia="Times New Roman" w:hAnsi="Calibri" w:cs="Calibri"/>
          <w:b/>
          <w:bCs/>
          <w:i/>
          <w:iCs/>
          <w:color w:val="auto"/>
          <w:sz w:val="24"/>
          <w:szCs w:val="24"/>
        </w:rPr>
        <w:t>s</w:t>
      </w:r>
      <w:r w:rsidR="006F2A04" w:rsidRPr="00C01536">
        <w:rPr>
          <w:rFonts w:ascii="Calibri" w:eastAsia="Times New Roman" w:hAnsi="Calibri" w:cs="Calibri"/>
          <w:b/>
          <w:bCs/>
          <w:i/>
          <w:iCs/>
          <w:color w:val="auto"/>
          <w:sz w:val="24"/>
          <w:szCs w:val="24"/>
        </w:rPr>
        <w:t xml:space="preserve"> found in the 5</w:t>
      </w:r>
      <w:r w:rsidR="007C7802" w:rsidRPr="00C01536">
        <w:rPr>
          <w:rFonts w:ascii="Calibri" w:eastAsia="Times New Roman" w:hAnsi="Calibri" w:cs="Calibri"/>
          <w:b/>
          <w:bCs/>
          <w:i/>
          <w:iCs/>
          <w:color w:val="auto"/>
          <w:sz w:val="24"/>
          <w:szCs w:val="24"/>
        </w:rPr>
        <w:t>´</w:t>
      </w:r>
      <w:r w:rsidR="006F2A04" w:rsidRPr="00C01536">
        <w:rPr>
          <w:rFonts w:ascii="Calibri" w:eastAsia="Times New Roman" w:hAnsi="Calibri" w:cs="Calibri"/>
          <w:b/>
          <w:bCs/>
          <w:i/>
          <w:iCs/>
          <w:color w:val="auto"/>
          <w:sz w:val="24"/>
          <w:szCs w:val="24"/>
        </w:rPr>
        <w:t>UTR of bS21-2-impacted genes</w:t>
      </w:r>
      <w:r>
        <w:rPr>
          <w:rFonts w:ascii="Calibri" w:eastAsia="Times New Roman" w:hAnsi="Calibri" w:cs="Calibri"/>
          <w:b/>
          <w:bCs/>
          <w:i/>
          <w:iCs/>
          <w:color w:val="auto"/>
          <w:sz w:val="24"/>
          <w:szCs w:val="24"/>
        </w:rPr>
        <w:t xml:space="preserve"> do not impact production of GFP from the </w:t>
      </w:r>
      <w:r w:rsidRPr="003668B9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>mraY</w:t>
      </w:r>
      <w:r>
        <w:rPr>
          <w:rFonts w:ascii="Calibri" w:eastAsia="Times New Roman" w:hAnsi="Calibri" w:cs="Calibri"/>
          <w:b/>
          <w:bCs/>
          <w:i/>
          <w:iCs/>
          <w:color w:val="auto"/>
          <w:sz w:val="24"/>
          <w:szCs w:val="24"/>
        </w:rPr>
        <w:t xml:space="preserve"> 5´UTR</w:t>
      </w:r>
    </w:p>
    <w:p w14:paraId="31CBAFF6" w14:textId="083D25EA" w:rsidR="0042536A" w:rsidRDefault="00EA1BAA" w:rsidP="00D950A5">
      <w:pPr>
        <w:spacing w:before="240" w:line="480" w:lineRule="auto"/>
        <w:ind w:firstLine="720"/>
        <w:jc w:val="both"/>
      </w:pPr>
      <w:bookmarkStart w:id="1" w:name="_Hlk118105834"/>
      <w:r w:rsidRPr="00C01536">
        <w:t>We reasoned that bS21-2 or a bS21-regulated protein may recognize a sequence-specific element of particular 5</w:t>
      </w:r>
      <w:r w:rsidRPr="00C01536">
        <w:rPr>
          <w:rFonts w:cstheme="minorHAnsi"/>
        </w:rPr>
        <w:t>´</w:t>
      </w:r>
      <w:r w:rsidRPr="00C01536">
        <w:t xml:space="preserve">UTRs. </w:t>
      </w:r>
      <w:bookmarkEnd w:id="1"/>
      <w:r w:rsidRPr="00C01536">
        <w:t xml:space="preserve">Although the transcription start site is not known for most genes in </w:t>
      </w:r>
      <w:r w:rsidRPr="00C01536">
        <w:rPr>
          <w:i/>
          <w:iCs/>
        </w:rPr>
        <w:t>Francisella</w:t>
      </w:r>
      <w:r w:rsidRPr="00C01536">
        <w:t xml:space="preserve">, we compiled sequences including 100 nucleotides upstream of the start codon and the first six codons of the gene for all </w:t>
      </w:r>
      <w:r w:rsidR="0078683C" w:rsidRPr="00C01536">
        <w:t>proteins</w:t>
      </w:r>
      <w:r w:rsidRPr="00C01536">
        <w:t xml:space="preserve"> that were significantly different in cells lacking bS21-2 compared to wild-type. As a control, we also </w:t>
      </w:r>
      <w:r w:rsidR="003668B9">
        <w:t xml:space="preserve">compiled </w:t>
      </w:r>
      <w:r w:rsidR="003668B9" w:rsidRPr="00C01536">
        <w:t>5</w:t>
      </w:r>
      <w:r w:rsidR="003668B9" w:rsidRPr="00C01536">
        <w:rPr>
          <w:rFonts w:cstheme="minorHAnsi"/>
        </w:rPr>
        <w:t>´</w:t>
      </w:r>
      <w:r w:rsidR="003668B9" w:rsidRPr="00C01536">
        <w:t>UTR</w:t>
      </w:r>
      <w:r w:rsidRPr="00C01536">
        <w:t xml:space="preserve"> sequences from genes that </w:t>
      </w:r>
      <w:r w:rsidR="00A4083C" w:rsidRPr="00C01536">
        <w:t>we</w:t>
      </w:r>
      <w:r w:rsidRPr="00C01536">
        <w:t>re not impacted by bS21-2 presence. Using MEME</w:t>
      </w:r>
      <w:r w:rsidR="0078683C" w:rsidRPr="00C01536">
        <w:t>/STREME</w:t>
      </w:r>
      <w:r w:rsidRPr="00C01536">
        <w:t xml:space="preserve">, </w:t>
      </w:r>
      <w:r w:rsidR="0078683C" w:rsidRPr="00C01536">
        <w:t>we identified possible sequence motifs that were enriched in the 5</w:t>
      </w:r>
      <w:r w:rsidR="0078683C" w:rsidRPr="00C01536">
        <w:rPr>
          <w:rFonts w:cstheme="minorHAnsi"/>
        </w:rPr>
        <w:t>´</w:t>
      </w:r>
      <w:r w:rsidR="0078683C" w:rsidRPr="00C01536">
        <w:t>UTRs of genes that were the most altered in abundance</w:t>
      </w:r>
      <w:r w:rsidR="003668B9">
        <w:t xml:space="preserve"> (20 genes that were lowest in abundance in </w:t>
      </w:r>
      <w:r w:rsidR="003668B9">
        <w:rPr>
          <w:rFonts w:cstheme="minorHAnsi"/>
        </w:rPr>
        <w:t>Δ</w:t>
      </w:r>
      <w:r w:rsidR="003668B9">
        <w:t>bS21-2 relative to LVS)</w:t>
      </w:r>
      <w:r w:rsidR="0078683C" w:rsidRPr="00C01536">
        <w:t>.</w:t>
      </w:r>
      <w:r w:rsidR="00A4083C" w:rsidRPr="00C01536">
        <w:t xml:space="preserve"> </w:t>
      </w:r>
      <w:r w:rsidR="003668B9">
        <w:t xml:space="preserve">Two </w:t>
      </w:r>
      <w:r w:rsidR="00A4083C" w:rsidRPr="00C01536">
        <w:t>motifs</w:t>
      </w:r>
      <w:r w:rsidR="003668B9">
        <w:t>, called motif4 and motif5,</w:t>
      </w:r>
      <w:r w:rsidR="00A4083C" w:rsidRPr="00C01536">
        <w:t xml:space="preserve"> are AU-rich</w:t>
      </w:r>
      <w:r w:rsidR="000D3D3F">
        <w:t xml:space="preserve"> </w:t>
      </w:r>
      <w:r w:rsidR="003668B9">
        <w:t xml:space="preserve">motifs and were found in 19/20 and 18/20 genes assessed, respectively (Figure 4a). As both motifs were identified in the </w:t>
      </w:r>
      <w:r w:rsidR="003668B9">
        <w:rPr>
          <w:i/>
          <w:iCs/>
        </w:rPr>
        <w:t xml:space="preserve">mraY </w:t>
      </w:r>
      <w:r w:rsidR="003668B9" w:rsidRPr="00C01536">
        <w:t>5</w:t>
      </w:r>
      <w:r w:rsidR="003668B9" w:rsidRPr="00C01536">
        <w:rPr>
          <w:rFonts w:cstheme="minorHAnsi"/>
        </w:rPr>
        <w:t>´</w:t>
      </w:r>
      <w:r w:rsidR="003668B9" w:rsidRPr="00C01536">
        <w:t>UTR</w:t>
      </w:r>
      <w:r w:rsidR="003668B9">
        <w:t>, t</w:t>
      </w:r>
      <w:r w:rsidR="000D3D3F">
        <w:t xml:space="preserve">argeted mutations were generated to modify these motifs </w:t>
      </w:r>
      <w:r w:rsidR="003668B9">
        <w:t xml:space="preserve">and assess the impact on bS21-2-modulated translation. </w:t>
      </w:r>
      <w:r w:rsidR="00CF314F">
        <w:t xml:space="preserve">Mutations 2 and 3 modified motif 4 from </w:t>
      </w:r>
      <w:proofErr w:type="spellStart"/>
      <w:r w:rsidR="00CF314F" w:rsidRPr="00CF314F">
        <w:t>aaaauaac</w:t>
      </w:r>
      <w:proofErr w:type="spellEnd"/>
      <w:r w:rsidR="00CF314F">
        <w:t xml:space="preserve"> to </w:t>
      </w:r>
      <w:proofErr w:type="spellStart"/>
      <w:r w:rsidR="00CF314F">
        <w:t>ccccgccg</w:t>
      </w:r>
      <w:proofErr w:type="spellEnd"/>
      <w:r w:rsidR="00CF314F">
        <w:t xml:space="preserve"> and </w:t>
      </w:r>
      <w:proofErr w:type="spellStart"/>
      <w:r w:rsidR="00CF314F">
        <w:t>aaauauaca</w:t>
      </w:r>
      <w:proofErr w:type="spellEnd"/>
      <w:r w:rsidR="00CF314F">
        <w:t xml:space="preserve">, respectively. When assessed using the GFP reporter assay, neither of these modifications impacted the ratio of protein production between LVS and </w:t>
      </w:r>
      <w:r w:rsidR="00CF314F">
        <w:rPr>
          <w:rFonts w:cstheme="minorHAnsi"/>
        </w:rPr>
        <w:t>Δ</w:t>
      </w:r>
      <w:r w:rsidR="00CF314F">
        <w:t>bS21-2</w:t>
      </w:r>
      <w:r w:rsidR="004A6227">
        <w:t xml:space="preserve"> (Figure 4b)</w:t>
      </w:r>
      <w:r w:rsidR="00CF314F">
        <w:t>. Mutation 5 truncated the 5</w:t>
      </w:r>
      <w:r w:rsidR="00CF314F" w:rsidRPr="00C01536">
        <w:rPr>
          <w:rFonts w:cstheme="minorHAnsi"/>
        </w:rPr>
        <w:t>´</w:t>
      </w:r>
      <w:r w:rsidR="00CF314F">
        <w:rPr>
          <w:rFonts w:cstheme="minorHAnsi"/>
        </w:rPr>
        <w:t xml:space="preserve"> end of the </w:t>
      </w:r>
      <w:r w:rsidR="00CF314F" w:rsidRPr="00CF314F">
        <w:rPr>
          <w:rFonts w:cstheme="minorHAnsi"/>
          <w:i/>
          <w:iCs/>
        </w:rPr>
        <w:t>mraY</w:t>
      </w:r>
      <w:r w:rsidR="00CF314F">
        <w:rPr>
          <w:rFonts w:cstheme="minorHAnsi"/>
        </w:rPr>
        <w:t xml:space="preserve"> </w:t>
      </w:r>
      <w:r w:rsidR="00CF314F">
        <w:t>5</w:t>
      </w:r>
      <w:r w:rsidR="00CF314F" w:rsidRPr="00C01536">
        <w:rPr>
          <w:rFonts w:cstheme="minorHAnsi"/>
        </w:rPr>
        <w:t>´</w:t>
      </w:r>
      <w:r w:rsidR="00CF314F">
        <w:rPr>
          <w:rFonts w:cstheme="minorHAnsi"/>
        </w:rPr>
        <w:t xml:space="preserve">UTR, removing 25 nucleotides including motif 5. This construct also retained the relative difference in protein production </w:t>
      </w:r>
      <w:r w:rsidR="00CF314F">
        <w:t xml:space="preserve">between LVS and </w:t>
      </w:r>
      <w:r w:rsidR="00CF314F">
        <w:rPr>
          <w:rFonts w:cstheme="minorHAnsi"/>
        </w:rPr>
        <w:t>Δ</w:t>
      </w:r>
      <w:r w:rsidR="00CF314F">
        <w:t>bS21-2</w:t>
      </w:r>
      <w:r w:rsidR="004A6227">
        <w:t xml:space="preserve"> (Figure 4b)</w:t>
      </w:r>
      <w:r w:rsidR="00CF314F">
        <w:t xml:space="preserve">. Together, these </w:t>
      </w:r>
      <w:r w:rsidR="00CF314F">
        <w:lastRenderedPageBreak/>
        <w:t xml:space="preserve">data indicate that two MEME-predicted AU-rich motifs are not sufficient to cause </w:t>
      </w:r>
      <w:r w:rsidR="0042536A">
        <w:t>bS21-2 -</w:t>
      </w:r>
      <w:r w:rsidR="00CF314F">
        <w:t>modulated translatio</w:t>
      </w:r>
      <w:r w:rsidR="0042536A">
        <w:t>n</w:t>
      </w:r>
      <w:r w:rsidR="00CF314F">
        <w:t xml:space="preserve"> in the </w:t>
      </w:r>
      <w:r w:rsidR="00CF314F" w:rsidRPr="00CF314F">
        <w:rPr>
          <w:i/>
          <w:iCs/>
        </w:rPr>
        <w:t>mraY</w:t>
      </w:r>
      <w:r w:rsidR="00CF314F">
        <w:t xml:space="preserve"> UTR.</w:t>
      </w:r>
    </w:p>
    <w:p w14:paraId="45E0941E" w14:textId="1C5ECE2E" w:rsidR="007863C3" w:rsidRDefault="007863C3" w:rsidP="007863C3">
      <w:pPr>
        <w:spacing w:before="240" w:line="480" w:lineRule="auto"/>
        <w:jc w:val="both"/>
        <w:rPr>
          <w:b/>
          <w:bCs/>
          <w:i/>
          <w:iCs/>
        </w:rPr>
      </w:pPr>
      <w:r w:rsidRPr="007863C3">
        <w:rPr>
          <w:b/>
          <w:bCs/>
          <w:i/>
          <w:iCs/>
        </w:rPr>
        <w:t>**subsection on mraY truncations forthcoming</w:t>
      </w:r>
      <w:r w:rsidR="007F5FB1">
        <w:rPr>
          <w:b/>
          <w:bCs/>
          <w:i/>
          <w:iCs/>
        </w:rPr>
        <w:t>.</w:t>
      </w:r>
    </w:p>
    <w:p w14:paraId="7C188184" w14:textId="153B5F7D" w:rsidR="007F5FB1" w:rsidRPr="007F5FB1" w:rsidRDefault="007F5FB1" w:rsidP="007863C3">
      <w:pPr>
        <w:spacing w:before="240" w:line="480" w:lineRule="auto"/>
        <w:jc w:val="both"/>
      </w:pPr>
      <w:r>
        <w:t xml:space="preserve">General outline: Focused in on mraY UTR specifically to identify sequence-specific element not found in the MEME searches. First describe truncations, honing in on 40 </w:t>
      </w:r>
      <w:proofErr w:type="spellStart"/>
      <w:r>
        <w:t>nt</w:t>
      </w:r>
      <w:proofErr w:type="spellEnd"/>
      <w:r>
        <w:t xml:space="preserve"> truncation has difference between LVS and d2 whereas 43 </w:t>
      </w:r>
      <w:proofErr w:type="spellStart"/>
      <w:r>
        <w:t>nt</w:t>
      </w:r>
      <w:proofErr w:type="spellEnd"/>
      <w:r>
        <w:t xml:space="preserve"> truncation does not. Then mutations focusing on 3 </w:t>
      </w:r>
      <w:proofErr w:type="spellStart"/>
      <w:r>
        <w:t>nt</w:t>
      </w:r>
      <w:proofErr w:type="spellEnd"/>
      <w:r>
        <w:t xml:space="preserve"> region. Wait for results from mutation 12.</w:t>
      </w:r>
    </w:p>
    <w:p w14:paraId="72A5507D" w14:textId="02C32266" w:rsidR="00245FFF" w:rsidRPr="002C55A4" w:rsidRDefault="00245FFF" w:rsidP="00973CB0">
      <w:pPr>
        <w:spacing w:before="240" w:line="480" w:lineRule="auto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Hfq </w:t>
      </w:r>
      <w:r w:rsidR="007D15CC">
        <w:rPr>
          <w:b/>
          <w:bCs/>
          <w:i/>
          <w:iCs/>
        </w:rPr>
        <w:t xml:space="preserve">impacts expression of FPI genes in a </w:t>
      </w:r>
      <w:r w:rsidR="001B62A3">
        <w:rPr>
          <w:b/>
          <w:bCs/>
          <w:i/>
          <w:iCs/>
        </w:rPr>
        <w:t xml:space="preserve">distinct </w:t>
      </w:r>
      <w:r w:rsidR="007D15CC">
        <w:rPr>
          <w:b/>
          <w:bCs/>
          <w:i/>
          <w:iCs/>
        </w:rPr>
        <w:t>pathway from bS21-2</w:t>
      </w:r>
      <w:r w:rsidR="001B62A3">
        <w:rPr>
          <w:b/>
          <w:bCs/>
          <w:i/>
          <w:iCs/>
        </w:rPr>
        <w:t>-modulated translation</w:t>
      </w:r>
    </w:p>
    <w:p w14:paraId="03DDFAD0" w14:textId="321F5C02" w:rsidR="002C55A4" w:rsidRDefault="00245FFF" w:rsidP="00973CB0">
      <w:pPr>
        <w:spacing w:before="240" w:line="480" w:lineRule="auto"/>
        <w:jc w:val="both"/>
      </w:pPr>
      <w:r>
        <w:tab/>
        <w:t>Based off of preliminary proteomics data that suggested a change, we looked to confirm a difference in abundance of the RNA chaperone, Hfq, in cells lacking bS21-2 compared to wild-type.</w:t>
      </w:r>
      <w:r w:rsidR="002C55A4">
        <w:t xml:space="preserve"> We added a VSV-G epitope tag to </w:t>
      </w:r>
      <w:r w:rsidR="002C55A4">
        <w:rPr>
          <w:i/>
          <w:iCs/>
        </w:rPr>
        <w:t xml:space="preserve">hfq </w:t>
      </w:r>
      <w:r w:rsidR="002C55A4">
        <w:t xml:space="preserve">in its native location via homologous combination, then assessed protein abundance by immunoblotting with anti-VSV-G antibody. The data indicates a moderate increase in Hfq abundance (about 30%, Figure </w:t>
      </w:r>
      <w:r w:rsidR="001D0FBB">
        <w:t>6a</w:t>
      </w:r>
      <w:r w:rsidR="002C55A4">
        <w:t xml:space="preserve">) in </w:t>
      </w:r>
      <w:r w:rsidR="002C55A4">
        <w:rPr>
          <w:rFonts w:cstheme="minorHAnsi"/>
        </w:rPr>
        <w:t>Δ</w:t>
      </w:r>
      <w:r w:rsidR="002C55A4">
        <w:t xml:space="preserve">bS21-2 compared to wild-type. To assess if Hfq may be </w:t>
      </w:r>
      <w:r w:rsidR="00471ED2">
        <w:t>impacted</w:t>
      </w:r>
      <w:r w:rsidR="002C55A4">
        <w:t xml:space="preserve"> post-transcriptionally b</w:t>
      </w:r>
      <w:r w:rsidR="00471ED2">
        <w:t>y bS21-2 abundance, we assessed the 5</w:t>
      </w:r>
      <w:r w:rsidR="00471ED2">
        <w:rPr>
          <w:rFonts w:cstheme="minorHAnsi"/>
        </w:rPr>
        <w:t>´</w:t>
      </w:r>
      <w:r w:rsidR="00471ED2">
        <w:t xml:space="preserve">UTR of </w:t>
      </w:r>
      <w:r w:rsidR="00471ED2" w:rsidRPr="00471ED2">
        <w:rPr>
          <w:i/>
          <w:iCs/>
        </w:rPr>
        <w:t>hfq</w:t>
      </w:r>
      <w:r w:rsidR="00471ED2">
        <w:t xml:space="preserve"> in our GFP reporter assay, using the transcription start-site previously published (Meibom et al. 2009). We found that there is approximately 1.88-fold more GFP produced from the 5</w:t>
      </w:r>
      <w:r w:rsidR="00471ED2">
        <w:rPr>
          <w:rFonts w:cstheme="minorHAnsi"/>
        </w:rPr>
        <w:t>´</w:t>
      </w:r>
      <w:r w:rsidR="00471ED2">
        <w:t xml:space="preserve">UTR of </w:t>
      </w:r>
      <w:r w:rsidR="00471ED2" w:rsidRPr="00471ED2">
        <w:rPr>
          <w:i/>
          <w:iCs/>
        </w:rPr>
        <w:t>hfq</w:t>
      </w:r>
      <w:r w:rsidR="00471ED2">
        <w:rPr>
          <w:i/>
          <w:iCs/>
        </w:rPr>
        <w:t xml:space="preserve"> </w:t>
      </w:r>
      <w:r w:rsidR="00471ED2">
        <w:t>in cells lacking bS21-2, suggesting that Hfq may be a target of bS21-2 modulation</w:t>
      </w:r>
      <w:r w:rsidR="001D0FBB">
        <w:t xml:space="preserve"> (Figure 6b)</w:t>
      </w:r>
      <w:r w:rsidR="00471ED2">
        <w:t>.</w:t>
      </w:r>
    </w:p>
    <w:p w14:paraId="55AF0B0F" w14:textId="5AC8D8DC" w:rsidR="00245FFF" w:rsidRPr="00471ED2" w:rsidRDefault="002C55A4" w:rsidP="00973CB0">
      <w:pPr>
        <w:spacing w:before="240" w:line="480" w:lineRule="auto"/>
        <w:ind w:firstLine="720"/>
        <w:jc w:val="both"/>
      </w:pPr>
      <w:r>
        <w:t>To determine the downstream impact of</w:t>
      </w:r>
      <w:r w:rsidR="00471ED2">
        <w:t xml:space="preserve"> the</w:t>
      </w:r>
      <w:r>
        <w:t xml:space="preserve"> </w:t>
      </w:r>
      <w:r w:rsidR="00471ED2">
        <w:t xml:space="preserve">increased abundance of Hfq, a clean deletion of </w:t>
      </w:r>
      <w:r w:rsidR="00471ED2">
        <w:rPr>
          <w:i/>
          <w:iCs/>
        </w:rPr>
        <w:t xml:space="preserve">hfq </w:t>
      </w:r>
      <w:r w:rsidR="00471ED2">
        <w:t xml:space="preserve">was assessed by immunoblotting against proteins known to be impacted by bS21-2, </w:t>
      </w:r>
      <w:r w:rsidR="00471ED2">
        <w:lastRenderedPageBreak/>
        <w:t xml:space="preserve">including PdpB, IglA, and IglB (Trautmann &amp; Ramsey, 2022). PdpB was found to be more abundant in </w:t>
      </w:r>
      <w:proofErr w:type="spellStart"/>
      <w:r w:rsidR="00471ED2">
        <w:rPr>
          <w:rFonts w:cstheme="minorHAnsi"/>
        </w:rPr>
        <w:t>Δ</w:t>
      </w:r>
      <w:r w:rsidR="00471ED2">
        <w:rPr>
          <w:i/>
          <w:iCs/>
        </w:rPr>
        <w:t>hfq</w:t>
      </w:r>
      <w:proofErr w:type="spellEnd"/>
      <w:r w:rsidR="00471ED2">
        <w:rPr>
          <w:i/>
          <w:iCs/>
        </w:rPr>
        <w:t xml:space="preserve"> </w:t>
      </w:r>
      <w:r w:rsidR="00471ED2">
        <w:t xml:space="preserve">cells compared to wild-type (&gt;2-fold; p&lt;0.01); this is in contrast to </w:t>
      </w:r>
      <w:r w:rsidR="00471ED2">
        <w:rPr>
          <w:rFonts w:cstheme="minorHAnsi"/>
        </w:rPr>
        <w:t>Δ</w:t>
      </w:r>
      <w:r w:rsidR="00471ED2">
        <w:rPr>
          <w:i/>
          <w:iCs/>
        </w:rPr>
        <w:t xml:space="preserve">rpsU2 </w:t>
      </w:r>
      <w:r w:rsidR="00471ED2">
        <w:t xml:space="preserve">which contains less PdpB (Figure </w:t>
      </w:r>
      <w:r w:rsidR="001D0FBB">
        <w:t>6C</w:t>
      </w:r>
      <w:r w:rsidR="00471ED2">
        <w:t xml:space="preserve">). IglB and IglA, though less abundant in </w:t>
      </w:r>
      <w:r w:rsidR="00471ED2">
        <w:rPr>
          <w:rFonts w:cstheme="minorHAnsi"/>
        </w:rPr>
        <w:t>Δ</w:t>
      </w:r>
      <w:r w:rsidR="00471ED2">
        <w:rPr>
          <w:i/>
          <w:iCs/>
        </w:rPr>
        <w:t xml:space="preserve">rpsU2 </w:t>
      </w:r>
      <w:r w:rsidR="00471ED2">
        <w:t xml:space="preserve">compared to wild-type, are not impacted by loss of Hfq. </w:t>
      </w:r>
      <w:r w:rsidR="001D0FBB">
        <w:t xml:space="preserve">Further qPCR data from RNA purifications indicates that the </w:t>
      </w:r>
      <w:r w:rsidR="001D0FBB">
        <w:rPr>
          <w:i/>
          <w:iCs/>
        </w:rPr>
        <w:t xml:space="preserve">pdpA </w:t>
      </w:r>
      <w:r w:rsidR="001D0FBB">
        <w:t xml:space="preserve">and </w:t>
      </w:r>
      <w:proofErr w:type="spellStart"/>
      <w:r w:rsidR="001D0FBB">
        <w:rPr>
          <w:i/>
          <w:iCs/>
        </w:rPr>
        <w:t>pdpB</w:t>
      </w:r>
      <w:proofErr w:type="spellEnd"/>
      <w:r w:rsidR="001D0FBB">
        <w:rPr>
          <w:i/>
          <w:iCs/>
        </w:rPr>
        <w:t xml:space="preserve"> </w:t>
      </w:r>
      <w:r w:rsidR="001D0FBB">
        <w:t xml:space="preserve">transcripts are significantly increased when Hfq is not present, but the </w:t>
      </w:r>
      <w:proofErr w:type="spellStart"/>
      <w:r w:rsidR="001D0FBB" w:rsidRPr="001D0FBB">
        <w:rPr>
          <w:i/>
          <w:iCs/>
        </w:rPr>
        <w:t>iglA</w:t>
      </w:r>
      <w:proofErr w:type="spellEnd"/>
      <w:r w:rsidR="001D0FBB" w:rsidRPr="001D0FBB">
        <w:rPr>
          <w:i/>
          <w:iCs/>
        </w:rPr>
        <w:t xml:space="preserve"> </w:t>
      </w:r>
      <w:r w:rsidR="001D0FBB">
        <w:t xml:space="preserve">transcript is not impacted (Figure 6D). </w:t>
      </w:r>
      <w:r w:rsidR="00471ED2">
        <w:t xml:space="preserve">This may suggest two distinct pathways of post-transcriptional regulation of </w:t>
      </w:r>
      <w:r w:rsidR="001D0FBB">
        <w:t>PdpB (and possibly PdpA)</w:t>
      </w:r>
      <w:r w:rsidR="00471ED2">
        <w:t>: one in which bS21-2 improves translation efficiency</w:t>
      </w:r>
      <w:r w:rsidR="001D0FBB">
        <w:t xml:space="preserve"> of these genes</w:t>
      </w:r>
      <w:r w:rsidR="00471ED2">
        <w:t>, and one in which Hfq impairs translation</w:t>
      </w:r>
      <w:r w:rsidR="001D0FBB">
        <w:t xml:space="preserve"> by </w:t>
      </w:r>
      <w:r w:rsidR="007D15CC">
        <w:t>leading to the</w:t>
      </w:r>
      <w:r w:rsidR="001D0FBB">
        <w:t xml:space="preserve"> degradation of t</w:t>
      </w:r>
      <w:r w:rsidR="007D15CC">
        <w:t>heir t</w:t>
      </w:r>
      <w:r w:rsidR="001D0FBB">
        <w:t>ranscripts</w:t>
      </w:r>
      <w:r w:rsidR="00471ED2">
        <w:t>.</w:t>
      </w:r>
    </w:p>
    <w:sectPr w:rsidR="00245FFF" w:rsidRPr="00471E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LAwtbQwMTc3M7cwN7RU0lEKTi0uzszPAykwNKoFAF848wktAAAA"/>
  </w:docVars>
  <w:rsids>
    <w:rsidRoot w:val="000173A3"/>
    <w:rsid w:val="000173A3"/>
    <w:rsid w:val="00051327"/>
    <w:rsid w:val="00080A04"/>
    <w:rsid w:val="000954C5"/>
    <w:rsid w:val="000D2D7A"/>
    <w:rsid w:val="000D3D3F"/>
    <w:rsid w:val="001B62A3"/>
    <w:rsid w:val="001D0FBB"/>
    <w:rsid w:val="00245FFF"/>
    <w:rsid w:val="002C55A4"/>
    <w:rsid w:val="0031792A"/>
    <w:rsid w:val="003668B9"/>
    <w:rsid w:val="00394580"/>
    <w:rsid w:val="0042536A"/>
    <w:rsid w:val="00471ED2"/>
    <w:rsid w:val="004A6227"/>
    <w:rsid w:val="004A71A9"/>
    <w:rsid w:val="004D1075"/>
    <w:rsid w:val="00550743"/>
    <w:rsid w:val="005E475A"/>
    <w:rsid w:val="00615713"/>
    <w:rsid w:val="00644E8D"/>
    <w:rsid w:val="006843E7"/>
    <w:rsid w:val="006F2A04"/>
    <w:rsid w:val="007626BE"/>
    <w:rsid w:val="007863C3"/>
    <w:rsid w:val="0078683C"/>
    <w:rsid w:val="007C7802"/>
    <w:rsid w:val="007D15CC"/>
    <w:rsid w:val="007F5FB1"/>
    <w:rsid w:val="00887F87"/>
    <w:rsid w:val="008C5287"/>
    <w:rsid w:val="00930EB8"/>
    <w:rsid w:val="00973CB0"/>
    <w:rsid w:val="009D00D1"/>
    <w:rsid w:val="00A4083C"/>
    <w:rsid w:val="00B52C5F"/>
    <w:rsid w:val="00C01536"/>
    <w:rsid w:val="00C80CA8"/>
    <w:rsid w:val="00CD1587"/>
    <w:rsid w:val="00CF314F"/>
    <w:rsid w:val="00D950A5"/>
    <w:rsid w:val="00DA43E1"/>
    <w:rsid w:val="00EA1BAA"/>
    <w:rsid w:val="00FC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5A45C"/>
  <w15:chartTrackingRefBased/>
  <w15:docId w15:val="{9F740E34-A4D6-46E2-8512-F94D58471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3A3"/>
    <w:pPr>
      <w:spacing w:after="0" w:line="240" w:lineRule="auto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0A0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80A0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0513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13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132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13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132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6</Pages>
  <Words>1487</Words>
  <Characters>8478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28</cp:revision>
  <dcterms:created xsi:type="dcterms:W3CDTF">2022-12-05T16:03:00Z</dcterms:created>
  <dcterms:modified xsi:type="dcterms:W3CDTF">2023-01-05T18:14:00Z</dcterms:modified>
</cp:coreProperties>
</file>