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757A" w14:textId="04DE74AB" w:rsidR="000173A3" w:rsidRPr="00080A04" w:rsidRDefault="000173A3" w:rsidP="00080A04">
      <w:pPr>
        <w:pStyle w:val="Heading2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r w:rsidRPr="00080A04"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Loss of bS21-2 impacts translation from the 5´UTR of specific genes</w:t>
      </w:r>
    </w:p>
    <w:p w14:paraId="52C26EEE" w14:textId="13FD195B" w:rsidR="000173A3" w:rsidRDefault="006843E7" w:rsidP="000173A3">
      <w:pPr>
        <w:spacing w:before="100" w:beforeAutospacing="1" w:after="100" w:afterAutospacing="1" w:line="48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ab/>
        <w:t xml:space="preserve">The alterations in protein, but not transcript, abundance in cells lacking bS21-2 along with the known position of bS21 in </w:t>
      </w:r>
      <w:r>
        <w:rPr>
          <w:rFonts w:ascii="Calibri" w:eastAsia="Times New Roman" w:hAnsi="Calibri" w:cs="Calibri"/>
          <w:i/>
          <w:iCs/>
        </w:rPr>
        <w:t xml:space="preserve">E. coli </w:t>
      </w:r>
      <w:r>
        <w:rPr>
          <w:rFonts w:ascii="Calibri" w:eastAsia="Times New Roman" w:hAnsi="Calibri" w:cs="Calibri"/>
        </w:rPr>
        <w:t xml:space="preserve">ribosomes, led us to hypothesize that bS21-2 interacts with the 5´UTR of particular transcripts during translation initiation. To investigate this, we developed a series of reporter constructs which consisted of the </w:t>
      </w:r>
      <w:r w:rsidRPr="006843E7">
        <w:rPr>
          <w:rFonts w:ascii="Calibri" w:eastAsia="Times New Roman" w:hAnsi="Calibri" w:cs="Calibri"/>
          <w:i/>
          <w:iCs/>
        </w:rPr>
        <w:t>tul4</w:t>
      </w:r>
      <w:r>
        <w:rPr>
          <w:rFonts w:ascii="Calibri" w:eastAsia="Times New Roman" w:hAnsi="Calibri" w:cs="Calibri"/>
        </w:rPr>
        <w:t xml:space="preserve"> promoter, the 5´UTR with the first 6 codons of the gene of interest, fused to a reporter gene (</w:t>
      </w:r>
      <w:r>
        <w:rPr>
          <w:rFonts w:ascii="Calibri" w:eastAsia="Times New Roman" w:hAnsi="Calibri" w:cs="Calibri"/>
          <w:i/>
          <w:iCs/>
        </w:rPr>
        <w:t xml:space="preserve">lacZ </w:t>
      </w:r>
      <w:r>
        <w:rPr>
          <w:rFonts w:ascii="Calibri" w:eastAsia="Times New Roman" w:hAnsi="Calibri" w:cs="Calibri"/>
        </w:rPr>
        <w:t xml:space="preserve">or </w:t>
      </w:r>
      <w:proofErr w:type="spellStart"/>
      <w:r>
        <w:rPr>
          <w:rFonts w:ascii="Calibri" w:eastAsia="Times New Roman" w:hAnsi="Calibri" w:cs="Calibri"/>
          <w:i/>
          <w:iCs/>
        </w:rPr>
        <w:t>gfp</w:t>
      </w:r>
      <w:proofErr w:type="spellEnd"/>
      <w:r>
        <w:rPr>
          <w:rFonts w:ascii="Calibri" w:eastAsia="Times New Roman" w:hAnsi="Calibri" w:cs="Calibri"/>
        </w:rPr>
        <w:t xml:space="preserve">). These constructs were incorporated into </w:t>
      </w:r>
      <w:r>
        <w:rPr>
          <w:rFonts w:ascii="Calibri" w:eastAsia="Times New Roman" w:hAnsi="Calibri" w:cs="Calibri"/>
          <w:i/>
          <w:iCs/>
        </w:rPr>
        <w:t xml:space="preserve">F. tularensis </w:t>
      </w:r>
      <w:r>
        <w:rPr>
          <w:rFonts w:ascii="Calibri" w:eastAsia="Times New Roman" w:hAnsi="Calibri" w:cs="Calibri"/>
        </w:rPr>
        <w:t>cells with (WT) or without (</w:t>
      </w:r>
      <w:r w:rsidRPr="006843E7">
        <w:rPr>
          <w:rFonts w:ascii="Calibri" w:eastAsia="Times New Roman" w:hAnsi="Calibri" w:cs="Calibri"/>
          <w:i/>
          <w:iCs/>
        </w:rPr>
        <w:t>ΔrpsU2</w:t>
      </w:r>
      <w:r>
        <w:rPr>
          <w:rFonts w:ascii="Calibri" w:eastAsia="Times New Roman" w:hAnsi="Calibri" w:cs="Calibri"/>
        </w:rPr>
        <w:t>) bS21-2. We assayed genes that were found to have significant difference in protein abundance in previous research (</w:t>
      </w:r>
      <w:proofErr w:type="gramStart"/>
      <w:r>
        <w:rPr>
          <w:rFonts w:ascii="Calibri" w:eastAsia="Times New Roman" w:hAnsi="Calibri" w:cs="Calibri"/>
        </w:rPr>
        <w:t>i.e.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i/>
          <w:iCs/>
        </w:rPr>
        <w:t>pdpA</w:t>
      </w:r>
      <w:r w:rsidR="00080A04">
        <w:rPr>
          <w:rFonts w:ascii="Calibri" w:eastAsia="Times New Roman" w:hAnsi="Calibri" w:cs="Calibri"/>
          <w:i/>
          <w:iCs/>
        </w:rPr>
        <w:t xml:space="preserve">, </w:t>
      </w:r>
      <w:proofErr w:type="spellStart"/>
      <w:r w:rsidR="00080A04">
        <w:rPr>
          <w:rFonts w:ascii="Calibri" w:eastAsia="Times New Roman" w:hAnsi="Calibri" w:cs="Calibri"/>
          <w:i/>
          <w:iCs/>
        </w:rPr>
        <w:t>mraY</w:t>
      </w:r>
      <w:proofErr w:type="spellEnd"/>
      <w:r w:rsidR="00080A04">
        <w:rPr>
          <w:rFonts w:ascii="Calibri" w:eastAsia="Times New Roman" w:hAnsi="Calibri" w:cs="Calibri"/>
          <w:i/>
          <w:iCs/>
        </w:rPr>
        <w:t xml:space="preserve">, </w:t>
      </w:r>
      <w:proofErr w:type="spellStart"/>
      <w:r w:rsidR="00080A04">
        <w:rPr>
          <w:rFonts w:ascii="Calibri" w:eastAsia="Times New Roman" w:hAnsi="Calibri" w:cs="Calibri"/>
          <w:i/>
          <w:iCs/>
        </w:rPr>
        <w:t>hfq</w:t>
      </w:r>
      <w:proofErr w:type="spellEnd"/>
      <w:r>
        <w:rPr>
          <w:rFonts w:ascii="Calibri" w:eastAsia="Times New Roman" w:hAnsi="Calibri" w:cs="Calibri"/>
        </w:rPr>
        <w:t xml:space="preserve">) and ones that were not found to have altered abundance (i.e. </w:t>
      </w:r>
      <w:r>
        <w:rPr>
          <w:rFonts w:ascii="Calibri" w:eastAsia="Times New Roman" w:hAnsi="Calibri" w:cs="Calibri"/>
          <w:i/>
          <w:iCs/>
        </w:rPr>
        <w:t xml:space="preserve">tul4). </w:t>
      </w:r>
      <w:r w:rsidR="004D1075">
        <w:rPr>
          <w:rFonts w:ascii="Calibri" w:eastAsia="Times New Roman" w:hAnsi="Calibri" w:cs="Calibri"/>
        </w:rPr>
        <w:t>We found that there was significantly less β-galactosidase activity</w:t>
      </w:r>
      <w:r w:rsidR="00080A04">
        <w:rPr>
          <w:rFonts w:ascii="Calibri" w:eastAsia="Times New Roman" w:hAnsi="Calibri" w:cs="Calibri"/>
        </w:rPr>
        <w:t xml:space="preserve"> or GFP</w:t>
      </w:r>
      <w:r w:rsidR="004D1075">
        <w:rPr>
          <w:rFonts w:ascii="Calibri" w:eastAsia="Times New Roman" w:hAnsi="Calibri" w:cs="Calibri"/>
        </w:rPr>
        <w:t xml:space="preserve"> in cells lacking bS21-2 if the </w:t>
      </w:r>
      <w:r w:rsidR="004D1075" w:rsidRPr="004D1075">
        <w:rPr>
          <w:rFonts w:ascii="Calibri" w:eastAsia="Times New Roman" w:hAnsi="Calibri" w:cs="Calibri"/>
          <w:i/>
          <w:iCs/>
        </w:rPr>
        <w:t>pdpA</w:t>
      </w:r>
      <w:r w:rsidR="004D1075">
        <w:rPr>
          <w:rFonts w:ascii="Calibri" w:eastAsia="Times New Roman" w:hAnsi="Calibri" w:cs="Calibri"/>
        </w:rPr>
        <w:t xml:space="preserve"> </w:t>
      </w:r>
      <w:r w:rsidR="00080A04">
        <w:rPr>
          <w:rFonts w:ascii="Calibri" w:eastAsia="Times New Roman" w:hAnsi="Calibri" w:cs="Calibri"/>
        </w:rPr>
        <w:t xml:space="preserve">or </w:t>
      </w:r>
      <w:proofErr w:type="spellStart"/>
      <w:r w:rsidR="00080A04">
        <w:rPr>
          <w:rFonts w:ascii="Calibri" w:eastAsia="Times New Roman" w:hAnsi="Calibri" w:cs="Calibri"/>
          <w:i/>
          <w:iCs/>
        </w:rPr>
        <w:t>mraY</w:t>
      </w:r>
      <w:proofErr w:type="spellEnd"/>
      <w:r w:rsidR="00080A04">
        <w:rPr>
          <w:rFonts w:ascii="Calibri" w:eastAsia="Times New Roman" w:hAnsi="Calibri" w:cs="Calibri"/>
          <w:i/>
          <w:iCs/>
        </w:rPr>
        <w:t xml:space="preserve"> </w:t>
      </w:r>
      <w:r w:rsidR="004D1075">
        <w:rPr>
          <w:rFonts w:ascii="Calibri" w:eastAsia="Times New Roman" w:hAnsi="Calibri" w:cs="Calibri"/>
        </w:rPr>
        <w:t>UTR was used</w:t>
      </w:r>
      <w:r w:rsidR="00080A04">
        <w:rPr>
          <w:rFonts w:ascii="Calibri" w:eastAsia="Times New Roman" w:hAnsi="Calibri" w:cs="Calibri"/>
        </w:rPr>
        <w:t xml:space="preserve"> and significantly more GFP production in cells lacking bS21-2 if the </w:t>
      </w:r>
      <w:proofErr w:type="spellStart"/>
      <w:r w:rsidR="00080A04">
        <w:rPr>
          <w:rFonts w:ascii="Calibri" w:eastAsia="Times New Roman" w:hAnsi="Calibri" w:cs="Calibri"/>
          <w:i/>
          <w:iCs/>
        </w:rPr>
        <w:t>hfq</w:t>
      </w:r>
      <w:proofErr w:type="spellEnd"/>
      <w:r w:rsidR="00080A04">
        <w:rPr>
          <w:rFonts w:ascii="Calibri" w:eastAsia="Times New Roman" w:hAnsi="Calibri" w:cs="Calibri"/>
          <w:i/>
          <w:iCs/>
        </w:rPr>
        <w:t xml:space="preserve"> </w:t>
      </w:r>
      <w:r w:rsidR="00080A04">
        <w:rPr>
          <w:rFonts w:ascii="Calibri" w:eastAsia="Times New Roman" w:hAnsi="Calibri" w:cs="Calibri"/>
        </w:rPr>
        <w:t>UTR was moved.</w:t>
      </w:r>
      <w:r w:rsidR="004D1075">
        <w:rPr>
          <w:rFonts w:ascii="Calibri" w:eastAsia="Times New Roman" w:hAnsi="Calibri" w:cs="Calibri"/>
        </w:rPr>
        <w:t xml:space="preserve"> </w:t>
      </w:r>
      <w:r w:rsidR="00080A04">
        <w:rPr>
          <w:rFonts w:ascii="Calibri" w:eastAsia="Times New Roman" w:hAnsi="Calibri" w:cs="Calibri"/>
        </w:rPr>
        <w:t>N</w:t>
      </w:r>
      <w:r w:rsidR="004D1075">
        <w:rPr>
          <w:rFonts w:ascii="Calibri" w:eastAsia="Times New Roman" w:hAnsi="Calibri" w:cs="Calibri"/>
        </w:rPr>
        <w:t xml:space="preserve">o significant difference (or slightly more) </w:t>
      </w:r>
      <w:r w:rsidR="00080A04">
        <w:rPr>
          <w:rFonts w:ascii="Calibri" w:eastAsia="Times New Roman" w:hAnsi="Calibri" w:cs="Calibri"/>
        </w:rPr>
        <w:t xml:space="preserve">was detected </w:t>
      </w:r>
      <w:r w:rsidR="004D1075">
        <w:rPr>
          <w:rFonts w:ascii="Calibri" w:eastAsia="Times New Roman" w:hAnsi="Calibri" w:cs="Calibri"/>
        </w:rPr>
        <w:t xml:space="preserve">if the </w:t>
      </w:r>
      <w:r w:rsidR="004D1075" w:rsidRPr="004D1075">
        <w:rPr>
          <w:rFonts w:ascii="Calibri" w:eastAsia="Times New Roman" w:hAnsi="Calibri" w:cs="Calibri"/>
          <w:i/>
          <w:iCs/>
        </w:rPr>
        <w:t>tul4</w:t>
      </w:r>
      <w:r w:rsidR="004D1075">
        <w:rPr>
          <w:rFonts w:ascii="Calibri" w:eastAsia="Times New Roman" w:hAnsi="Calibri" w:cs="Calibri"/>
        </w:rPr>
        <w:t xml:space="preserve"> UTR was used. </w:t>
      </w:r>
      <w:r w:rsidR="00080A04">
        <w:rPr>
          <w:rFonts w:ascii="Calibri" w:eastAsia="Times New Roman" w:hAnsi="Calibri" w:cs="Calibri"/>
        </w:rPr>
        <w:t xml:space="preserve">These findings are consistent with changes in protein abundance of each of these genes in cells with or without bS21-2. </w:t>
      </w:r>
      <w:r w:rsidR="004D1075">
        <w:rPr>
          <w:rFonts w:ascii="Calibri" w:eastAsia="Times New Roman" w:hAnsi="Calibri" w:cs="Calibri"/>
        </w:rPr>
        <w:t xml:space="preserve">These data suggest that the 5´UTR of a gene is sufficient to lead to modulation by bS21-2 and is consistent with the idea that bS21 may be regulating translation initiation. </w:t>
      </w:r>
    </w:p>
    <w:p w14:paraId="12F42D19" w14:textId="47E7314E" w:rsidR="00080A04" w:rsidRPr="00080A04" w:rsidRDefault="00080A04" w:rsidP="00080A04">
      <w:pPr>
        <w:pStyle w:val="Heading2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bookmarkStart w:id="0" w:name="_Hlk115266387"/>
      <w:r w:rsidRPr="00080A04"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 xml:space="preserve">bS21-2 </w:t>
      </w:r>
      <w:r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is not required for efficient translation if there is an ideal Shine-Dalgarno</w:t>
      </w:r>
    </w:p>
    <w:bookmarkEnd w:id="0"/>
    <w:p w14:paraId="5EB8FE09" w14:textId="0D2FAFE6" w:rsidR="006F2A04" w:rsidRDefault="00C80CA8" w:rsidP="000173A3">
      <w:pPr>
        <w:spacing w:before="100" w:beforeAutospacing="1" w:after="100" w:afterAutospacing="1" w:line="48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ab/>
        <w:t xml:space="preserve">Given the finding that bS21-2 impacts abundance of a reporter protein fused to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UTR, we examined </w:t>
      </w:r>
      <w:r w:rsidR="00615713">
        <w:rPr>
          <w:rFonts w:ascii="Calibri" w:eastAsia="Times New Roman" w:hAnsi="Calibri" w:cs="Calibri"/>
        </w:rPr>
        <w:t>features</w:t>
      </w:r>
      <w:r>
        <w:rPr>
          <w:rFonts w:ascii="Calibri" w:eastAsia="Times New Roman" w:hAnsi="Calibri" w:cs="Calibri"/>
        </w:rPr>
        <w:t xml:space="preserve"> of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UTR that </w:t>
      </w:r>
      <w:r w:rsidR="00615713">
        <w:rPr>
          <w:rFonts w:ascii="Calibri" w:eastAsia="Times New Roman" w:hAnsi="Calibri" w:cs="Calibri"/>
        </w:rPr>
        <w:t>may lead to preferential translation from ribosomes containing bS21-2</w:t>
      </w:r>
      <w:r w:rsidR="0031792A">
        <w:rPr>
          <w:rFonts w:ascii="Calibri" w:eastAsia="Times New Roman" w:hAnsi="Calibri" w:cs="Calibri"/>
        </w:rPr>
        <w:t>.</w:t>
      </w:r>
      <w:r w:rsidR="00615713">
        <w:rPr>
          <w:rFonts w:ascii="Calibri" w:eastAsia="Times New Roman" w:hAnsi="Calibri" w:cs="Calibri"/>
        </w:rPr>
        <w:t xml:space="preserve"> The close proximity of bS21 in the </w:t>
      </w:r>
      <w:r w:rsidR="00615713" w:rsidRPr="00615713">
        <w:rPr>
          <w:rFonts w:ascii="Calibri" w:eastAsia="Times New Roman" w:hAnsi="Calibri" w:cs="Calibri"/>
          <w:i/>
          <w:iCs/>
        </w:rPr>
        <w:t>E. coli</w:t>
      </w:r>
      <w:r w:rsidR="00615713">
        <w:rPr>
          <w:rFonts w:ascii="Calibri" w:eastAsia="Times New Roman" w:hAnsi="Calibri" w:cs="Calibri"/>
        </w:rPr>
        <w:t xml:space="preserve"> ribosome to the anti-Shine Dalgarno sequence of the 16S rRNA suggested that the SD-ASD binding may be impacted by bS21 presence. We developed </w:t>
      </w:r>
      <w:r w:rsidR="00394580">
        <w:rPr>
          <w:rFonts w:ascii="Calibri" w:eastAsia="Times New Roman" w:hAnsi="Calibri" w:cs="Calibri"/>
        </w:rPr>
        <w:t xml:space="preserve">β-galactosidase </w:t>
      </w:r>
      <w:r w:rsidR="00615713">
        <w:rPr>
          <w:rFonts w:ascii="Calibri" w:eastAsia="Times New Roman" w:hAnsi="Calibri" w:cs="Calibri"/>
        </w:rPr>
        <w:t xml:space="preserve">reporters with altered Shine </w:t>
      </w:r>
      <w:r w:rsidR="00615713">
        <w:rPr>
          <w:rFonts w:ascii="Calibri" w:eastAsia="Times New Roman" w:hAnsi="Calibri" w:cs="Calibri"/>
        </w:rPr>
        <w:lastRenderedPageBreak/>
        <w:t xml:space="preserve">Dalgarno sequences in the </w:t>
      </w:r>
      <w:r w:rsidR="00615713" w:rsidRPr="00615713">
        <w:rPr>
          <w:rFonts w:ascii="Calibri" w:eastAsia="Times New Roman" w:hAnsi="Calibri" w:cs="Calibri"/>
          <w:i/>
          <w:iCs/>
        </w:rPr>
        <w:t>pdpA</w:t>
      </w:r>
      <w:r w:rsidR="00615713">
        <w:rPr>
          <w:rFonts w:ascii="Calibri" w:eastAsia="Times New Roman" w:hAnsi="Calibri" w:cs="Calibri"/>
        </w:rPr>
        <w:t xml:space="preserve"> UTR. Any sequence change that maintained a non-perfect SD (</w:t>
      </w:r>
      <w:r w:rsidR="00394580">
        <w:rPr>
          <w:rFonts w:ascii="Calibri" w:eastAsia="Times New Roman" w:hAnsi="Calibri" w:cs="Calibri"/>
        </w:rPr>
        <w:t xml:space="preserve">bad SD, </w:t>
      </w:r>
      <w:r w:rsidR="00394580" w:rsidRPr="00394580">
        <w:rPr>
          <w:rFonts w:ascii="Calibri" w:eastAsia="Times New Roman" w:hAnsi="Calibri" w:cs="Calibri"/>
          <w:i/>
          <w:iCs/>
        </w:rPr>
        <w:t>tul4</w:t>
      </w:r>
      <w:r w:rsidR="00394580">
        <w:rPr>
          <w:rFonts w:ascii="Calibri" w:eastAsia="Times New Roman" w:hAnsi="Calibri" w:cs="Calibri"/>
          <w:i/>
          <w:iCs/>
        </w:rPr>
        <w:t xml:space="preserve"> </w:t>
      </w:r>
      <w:r w:rsidR="00394580">
        <w:rPr>
          <w:rFonts w:ascii="Calibri" w:eastAsia="Times New Roman" w:hAnsi="Calibri" w:cs="Calibri"/>
        </w:rPr>
        <w:t xml:space="preserve">SD) resulted in the same relative protein production between cells with and without bS21-2 as with the wild-type </w:t>
      </w:r>
      <w:r w:rsidR="00394580" w:rsidRPr="00394580">
        <w:rPr>
          <w:rFonts w:ascii="Calibri" w:eastAsia="Times New Roman" w:hAnsi="Calibri" w:cs="Calibri"/>
          <w:i/>
          <w:iCs/>
        </w:rPr>
        <w:t>pdpA</w:t>
      </w:r>
      <w:r w:rsidR="00394580">
        <w:rPr>
          <w:rFonts w:ascii="Calibri" w:eastAsia="Times New Roman" w:hAnsi="Calibri" w:cs="Calibri"/>
        </w:rPr>
        <w:t xml:space="preserve"> SD. An ideal Shine Dalgarno, however resulted in more production of β-galactosidase in cells without bS21-2. These data suggest that genes with perfect Shine Dalgarno sequences do not require bS21-2 for efficient translation. However, </w:t>
      </w:r>
      <w:r w:rsidR="006F2A04">
        <w:rPr>
          <w:rFonts w:ascii="Calibri" w:eastAsia="Times New Roman" w:hAnsi="Calibri" w:cs="Calibri"/>
        </w:rPr>
        <w:t>there are many genes not impacted by bS21-2 that have non-perfect SDs (</w:t>
      </w:r>
      <w:proofErr w:type="gramStart"/>
      <w:r w:rsidR="006F2A04">
        <w:rPr>
          <w:rFonts w:ascii="Calibri" w:eastAsia="Times New Roman" w:hAnsi="Calibri" w:cs="Calibri"/>
        </w:rPr>
        <w:t>i.e.</w:t>
      </w:r>
      <w:proofErr w:type="gramEnd"/>
      <w:r w:rsidR="006F2A04">
        <w:rPr>
          <w:rFonts w:ascii="Calibri" w:eastAsia="Times New Roman" w:hAnsi="Calibri" w:cs="Calibri"/>
        </w:rPr>
        <w:t xml:space="preserve"> </w:t>
      </w:r>
      <w:r w:rsidR="006F2A04" w:rsidRPr="006F2A04">
        <w:rPr>
          <w:rFonts w:ascii="Calibri" w:eastAsia="Times New Roman" w:hAnsi="Calibri" w:cs="Calibri"/>
          <w:i/>
          <w:iCs/>
        </w:rPr>
        <w:t>tul4</w:t>
      </w:r>
      <w:r w:rsidR="006F2A04">
        <w:rPr>
          <w:rFonts w:ascii="Calibri" w:eastAsia="Times New Roman" w:hAnsi="Calibri" w:cs="Calibri"/>
        </w:rPr>
        <w:t>), suggesting there is another component of the 5´UTR that leads to increased translation in cells with bS21-2.</w:t>
      </w:r>
    </w:p>
    <w:p w14:paraId="797BBCD4" w14:textId="1EBCE5CF" w:rsidR="007C7802" w:rsidRDefault="007C7802" w:rsidP="007C7802">
      <w:pPr>
        <w:pStyle w:val="Heading2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r w:rsidRPr="007C7802"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Secondary structure of 5´UTRs does not impact bS21-2 modulation</w:t>
      </w:r>
    </w:p>
    <w:p w14:paraId="03863253" w14:textId="1568A072" w:rsidR="007C7802" w:rsidRPr="007C7802" w:rsidRDefault="007C7802" w:rsidP="007C7802">
      <w:pPr>
        <w:spacing w:before="240" w:line="480" w:lineRule="auto"/>
        <w:ind w:firstLine="720"/>
      </w:pPr>
      <w:r>
        <w:t xml:space="preserve">The secondary structure of mRNA molecules has long been known to impact translation initiation (Hall et al. 1982; de Smit and Van Duin 1994). We hypothesized that the secondary structure of mRNAs that are differentially expressed in cells with or without bS21-2 may </w:t>
      </w:r>
      <w:r w:rsidR="00550743">
        <w:t xml:space="preserve">play a role </w:t>
      </w:r>
      <w:r>
        <w:t xml:space="preserve">in </w:t>
      </w:r>
      <w:r w:rsidR="00550743">
        <w:t>altered translation</w:t>
      </w:r>
      <w:r>
        <w:t xml:space="preserve">. We predicted the secondary structure of the </w:t>
      </w:r>
      <w:r>
        <w:rPr>
          <w:i/>
          <w:iCs/>
        </w:rPr>
        <w:t xml:space="preserve">pdpA </w:t>
      </w:r>
      <w:r>
        <w:t>5</w:t>
      </w:r>
      <w:r>
        <w:rPr>
          <w:rFonts w:cstheme="minorHAnsi"/>
        </w:rPr>
        <w:t>´</w:t>
      </w:r>
      <w:r>
        <w:t xml:space="preserve">UTR using </w:t>
      </w:r>
      <w:proofErr w:type="spellStart"/>
      <w:r>
        <w:t>RNAfold</w:t>
      </w:r>
      <w:proofErr w:type="spellEnd"/>
      <w:r>
        <w:t>, made targeted mutations to disrupt the predicted stem-loop structure</w:t>
      </w:r>
      <w:r w:rsidR="00550743">
        <w:t xml:space="preserve">, and generated </w:t>
      </w:r>
      <w:r w:rsidR="00550743">
        <w:rPr>
          <w:rFonts w:cstheme="minorHAnsi"/>
        </w:rPr>
        <w:t>β</w:t>
      </w:r>
      <w:r w:rsidR="00550743">
        <w:t xml:space="preserve">-galactosidase reporters at the Tn7 site in LVS and </w:t>
      </w:r>
      <w:r w:rsidR="00550743">
        <w:rPr>
          <w:rFonts w:cstheme="minorHAnsi"/>
        </w:rPr>
        <w:t>Δ</w:t>
      </w:r>
      <w:r w:rsidR="00550743">
        <w:t xml:space="preserve">bS21-2 </w:t>
      </w:r>
      <w:r>
        <w:t xml:space="preserve">(Figure XX). We </w:t>
      </w:r>
      <w:r w:rsidR="00550743">
        <w:t>also</w:t>
      </w:r>
      <w:r>
        <w:t xml:space="preserve"> made complementary mutations to revert the secondary structure without maintaining the original sequence. </w:t>
      </w:r>
      <w:r w:rsidR="00550743">
        <w:t>For</w:t>
      </w:r>
      <w:r>
        <w:t xml:space="preserve"> each of these </w:t>
      </w:r>
      <w:r w:rsidR="00550743">
        <w:t>mutations</w:t>
      </w:r>
      <w:r>
        <w:t xml:space="preserve">, the difference in translation between LVS and </w:t>
      </w:r>
      <w:r>
        <w:rPr>
          <w:rFonts w:cstheme="minorHAnsi"/>
        </w:rPr>
        <w:t>Δ</w:t>
      </w:r>
      <w:r>
        <w:t>bS21-2 was not impacted, suggesting that secondary structure of this UTR does</w:t>
      </w:r>
      <w:r w:rsidR="00550743">
        <w:t xml:space="preserve"> not play a role in translation modulation by bS21-2.</w:t>
      </w:r>
    </w:p>
    <w:p w14:paraId="5368AE1F" w14:textId="02C3706E" w:rsidR="00EA1BAA" w:rsidRDefault="006F2A04" w:rsidP="00EA1BAA">
      <w:pPr>
        <w:pStyle w:val="Heading2"/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</w:pPr>
      <w:r w:rsidRPr="006F2A04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A specific sequence motif is found in the 5</w:t>
      </w:r>
      <w:r w:rsidR="007C7802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´</w:t>
      </w:r>
      <w:r w:rsidRPr="006F2A04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UTR of bS21-2-impacted genes</w:t>
      </w:r>
    </w:p>
    <w:p w14:paraId="636204C4" w14:textId="4B9A7E09" w:rsidR="00EA1BAA" w:rsidRPr="00EA1BAA" w:rsidRDefault="00EA1BAA" w:rsidP="00EA1BAA">
      <w:pPr>
        <w:spacing w:before="240" w:line="480" w:lineRule="auto"/>
        <w:ind w:firstLine="720"/>
      </w:pPr>
      <w:bookmarkStart w:id="1" w:name="_Hlk118105834"/>
      <w:r>
        <w:t>We reasoned that bS21-2 or a bS21-regulated protein may recognize a sequence-specific element of particular 5</w:t>
      </w:r>
      <w:r>
        <w:rPr>
          <w:rFonts w:cstheme="minorHAnsi"/>
        </w:rPr>
        <w:t>´</w:t>
      </w:r>
      <w:r>
        <w:t xml:space="preserve">UTRs. </w:t>
      </w:r>
      <w:bookmarkEnd w:id="1"/>
      <w:r>
        <w:t xml:space="preserve">Although the transcription start site is not known for </w:t>
      </w:r>
      <w:r>
        <w:lastRenderedPageBreak/>
        <w:t xml:space="preserve">most genes in </w:t>
      </w:r>
      <w:r>
        <w:rPr>
          <w:i/>
          <w:iCs/>
        </w:rPr>
        <w:t>Francisella</w:t>
      </w:r>
      <w:r>
        <w:t xml:space="preserve">, we compiled sequences including 100 nucleotides upstream of the start codon and the first six codons of the gene for all </w:t>
      </w:r>
      <w:r w:rsidR="0078683C">
        <w:t>proteins</w:t>
      </w:r>
      <w:r>
        <w:t xml:space="preserve"> that were significantly different in cells lacking bS21-2 compared to wild-type. As a control, we also collected sequences from 80 genes that </w:t>
      </w:r>
      <w:r w:rsidR="00A4083C">
        <w:t>we</w:t>
      </w:r>
      <w:r>
        <w:t>re not impacted by bS21-2 presence. Using MEME</w:t>
      </w:r>
      <w:r w:rsidR="0078683C">
        <w:t>/STREME</w:t>
      </w:r>
      <w:r>
        <w:t xml:space="preserve">, </w:t>
      </w:r>
      <w:r w:rsidR="0078683C">
        <w:t>we identified possible sequence motifs that were enriched in the 5</w:t>
      </w:r>
      <w:r w:rsidR="0078683C">
        <w:rPr>
          <w:rFonts w:cstheme="minorHAnsi"/>
        </w:rPr>
        <w:t>´</w:t>
      </w:r>
      <w:r w:rsidR="0078683C">
        <w:t>UTRs of genes that were the most altered in abundance.</w:t>
      </w:r>
      <w:r w:rsidR="00A4083C">
        <w:t xml:space="preserve"> Two of the most commonly found motifs from proteins less abundant in bS21-2-lacking cells are AU-rich.</w:t>
      </w:r>
    </w:p>
    <w:sectPr w:rsidR="00EA1BAA" w:rsidRPr="00EA1B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rgUA1DpLniwAAAA="/>
  </w:docVars>
  <w:rsids>
    <w:rsidRoot w:val="000173A3"/>
    <w:rsid w:val="000173A3"/>
    <w:rsid w:val="00080A04"/>
    <w:rsid w:val="0031792A"/>
    <w:rsid w:val="00394580"/>
    <w:rsid w:val="004D1075"/>
    <w:rsid w:val="00550743"/>
    <w:rsid w:val="00615713"/>
    <w:rsid w:val="006843E7"/>
    <w:rsid w:val="006F2A04"/>
    <w:rsid w:val="0078683C"/>
    <w:rsid w:val="007C7802"/>
    <w:rsid w:val="008C5287"/>
    <w:rsid w:val="00A4083C"/>
    <w:rsid w:val="00C80CA8"/>
    <w:rsid w:val="00EA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A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0A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2022-10-31T15:00:00Z</dcterms:created>
  <dcterms:modified xsi:type="dcterms:W3CDTF">2022-10-31T15:03:00Z</dcterms:modified>
</cp:coreProperties>
</file>