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3934548D"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Hfq, we found that Hfq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447AAD38"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(Byrgazov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Karbstein, 2019). </w:t>
      </w:r>
    </w:p>
    <w:p w14:paraId="151D34EB" w14:textId="7A966B99"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164C6E">
        <w:rPr>
          <w:rFonts w:ascii="Arial" w:hAnsi="Arial" w:cs="Arial"/>
        </w:rPr>
        <w:t>Bubunenko et al., 2007</w:t>
      </w:r>
      <w:r w:rsidR="005E47B3">
        <w:rPr>
          <w:rFonts w:ascii="Arial" w:hAnsi="Arial" w:cs="Arial"/>
        </w:rPr>
        <w:t xml:space="preserve">; </w:t>
      </w:r>
      <w:r w:rsidR="005E47B3" w:rsidRPr="005E47B3">
        <w:rPr>
          <w:rFonts w:ascii="Arial" w:hAnsi="Arial" w:cs="Arial"/>
        </w:rPr>
        <w:t>Shimojo</w:t>
      </w:r>
      <w:r w:rsidR="005E47B3">
        <w:rPr>
          <w:rFonts w:ascii="Arial" w:hAnsi="Arial" w:cs="Arial"/>
        </w:rPr>
        <w:t xml:space="preserve"> et al., 2020</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van Duin &amp; Wijnands,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(Kaledhonkar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761DD0">
        <w:rPr>
          <w:rFonts w:ascii="Arial" w:hAnsi="Arial" w:cs="Arial"/>
        </w:rPr>
        <w:t xml:space="preserve">of </w:t>
      </w:r>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77AACE9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(Trautmann &amp; Ramsey, 2022)</w:t>
      </w:r>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2C606B8E" w:rsidR="00E3632B" w:rsidRDefault="00AB27A5" w:rsidP="000A62E1">
      <w:pPr>
        <w:spacing w:line="480" w:lineRule="auto"/>
        <w:jc w:val="both"/>
        <w:rPr>
          <w:rFonts w:ascii="Arial" w:hAnsi="Arial" w:cs="Arial"/>
        </w:rPr>
      </w:pPr>
      <w:r w:rsidRPr="008B3C93">
        <w:rPr>
          <w:rFonts w:ascii="Arial" w:hAnsi="Arial" w:cs="Arial"/>
        </w:rPr>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bS21-2 promotes translation of specific genes in a 5´ UTR-dependent manner</w:t>
      </w:r>
    </w:p>
    <w:p w14:paraId="5DE30FC1" w14:textId="76051E1E"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 xml:space="preserve">is located adjacent to the 5´ untranslated region (UTR) of mRNAs during translation initiation (Kaledhonkar et al., 2019; van Duin &amp; Wijnands,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7CA35349"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77777777"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(Kaledhonkar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4B198188"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First, we assessed how SD strength correlates with responsiveness to bS21-2. </w:t>
      </w:r>
      <w:r w:rsidR="00E51CFE" w:rsidRPr="00E51CFE">
        <w:rPr>
          <w:rFonts w:ascii="Arial" w:hAnsi="Arial" w:cs="Arial"/>
        </w:rPr>
        <w:t xml:space="preserve">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1ADB56DC"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In particular, </w:t>
      </w:r>
      <w:r w:rsidRPr="00E51CFE">
        <w:rPr>
          <w:rFonts w:ascii="Arial" w:hAnsi="Arial" w:cs="Arial"/>
        </w:rPr>
        <w:t xml:space="preserve">we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3A459CD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bS21-2 responsive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Sequence-specific motifs found in the 5´ UTR of genes governed by bS21-2 do not alter bS21-2 responsiveness</w:t>
      </w:r>
    </w:p>
    <w:p w14:paraId="6650B4E8" w14:textId="62BD24CE"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 xml:space="preserve">genes most positively governed by bS21-2 (Trautmann &amp; Ramsey, 2022).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7D08E798"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E51CFE" w:rsidRPr="00E51CFE">
        <w:rPr>
          <w:rFonts w:ascii="Arial" w:hAnsi="Arial" w:cs="Arial"/>
        </w:rPr>
        <w:t xml:space="preserve">). To assess the contribution of Motif 2, we created mutation 5, a truncation of the 5´ end of the </w:t>
      </w:r>
      <w:r w:rsidR="00E51CFE" w:rsidRPr="00E51CFE">
        <w:rPr>
          <w:rFonts w:ascii="Arial" w:hAnsi="Arial" w:cs="Arial"/>
          <w:i/>
          <w:iCs/>
        </w:rPr>
        <w:t>mraY</w:t>
      </w:r>
      <w:r w:rsidR="00E51CFE" w:rsidRPr="00E51CFE">
        <w:rPr>
          <w:rFonts w:ascii="Arial" w:hAnsi="Arial" w:cs="Arial"/>
        </w:rPr>
        <w:t xml:space="preserve"> 5´ UTR that removed 25 nt including </w:t>
      </w:r>
      <w:r w:rsidR="000242D8">
        <w:rPr>
          <w:rFonts w:ascii="Arial" w:hAnsi="Arial" w:cs="Arial"/>
        </w:rPr>
        <w:t>M</w:t>
      </w:r>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end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bS21-2 responsiveness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bS21-2-responsiveness</w:t>
      </w:r>
    </w:p>
    <w:p w14:paraId="2ACCF185" w14:textId="5018FDB3"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bS21-2 responsiveness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end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r w:rsidRPr="00E51CFE">
        <w:rPr>
          <w:rFonts w:ascii="Arial" w:hAnsi="Arial" w:cs="Arial"/>
          <w:i/>
          <w:iCs/>
        </w:rPr>
        <w:t>mraY</w:t>
      </w:r>
      <w:r w:rsidRPr="00E51CFE">
        <w:rPr>
          <w:rFonts w:ascii="Arial" w:hAnsi="Arial" w:cs="Arial"/>
        </w:rPr>
        <w:t xml:space="preserve"> mut7 (truncating the 5´ UTR to 60 nt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r w:rsidR="00C52E14">
        <w:rPr>
          <w:rFonts w:ascii="Arial" w:hAnsi="Arial" w:cs="Arial"/>
        </w:rPr>
        <w:t xml:space="preserve">nt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AD6180">
        <w:rPr>
          <w:rFonts w:ascii="Arial" w:hAnsi="Arial" w:cs="Arial"/>
        </w:rPr>
        <w:t>)</w:t>
      </w:r>
      <w:r w:rsidRPr="00E51CFE">
        <w:rPr>
          <w:rFonts w:ascii="Arial" w:hAnsi="Arial" w:cs="Arial"/>
        </w:rPr>
        <w:t xml:space="preserve">. These data allow 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Predicted secondary structures of 5´ UTRs are not responsible for bS21-2 responsiveness</w:t>
      </w:r>
    </w:p>
    <w:p w14:paraId="7D502AA5" w14:textId="69C9A41A"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r w:rsidR="000177A9">
        <w:rPr>
          <w:rFonts w:ascii="Arial" w:hAnsi="Arial" w:cs="Arial"/>
        </w:rPr>
        <w:t>We considered the possibility that the key region necessary for bS21-2 responsiveness,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dependent on the key GACUCU sequence that could be found in close proximity to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base-pair with the key region for bS21-2 responsiveness,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bS21-2 responsiveness.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128ADD88" w14:textId="37A4B568"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 </w:t>
      </w:r>
      <w:r w:rsidR="0004089B">
        <w:rPr>
          <w:rFonts w:ascii="Arial" w:hAnsi="Arial" w:cs="Arial"/>
        </w:rPr>
        <w:t>Thus, i</w:t>
      </w:r>
      <w:r w:rsidR="008F4403" w:rsidRPr="00E51CFE">
        <w:rPr>
          <w:rFonts w:ascii="Arial" w:hAnsi="Arial" w:cs="Arial"/>
        </w:rPr>
        <w:t>n our studies of two different bS21-2</w:t>
      </w:r>
      <w:r w:rsidR="0094773E">
        <w:rPr>
          <w:rFonts w:ascii="Arial" w:hAnsi="Arial" w:cs="Arial"/>
        </w:rPr>
        <w:t>-</w:t>
      </w:r>
      <w:r w:rsidR="008F4403" w:rsidRPr="00E51CFE">
        <w:rPr>
          <w:rFonts w:ascii="Arial" w:hAnsi="Arial" w:cs="Arial"/>
        </w:rPr>
        <w:t xml:space="preserve">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t>bS21-2 and Hfq influence T6SS protein abundance via different mechanisms</w:t>
      </w:r>
    </w:p>
    <w:p w14:paraId="6445A201" w14:textId="410A6D0F"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bS21-2 responsiveness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lastRenderedPageBreak/>
        <w:t>bS21-2</w:t>
      </w:r>
      <w:r w:rsidR="003227FB">
        <w:rPr>
          <w:rFonts w:ascii="Arial" w:hAnsi="Arial" w:cs="Arial"/>
        </w:rPr>
        <w:t xml:space="preserve"> (Table S2)</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r w:rsidR="00C81C8A" w:rsidRPr="00E51CFE">
        <w:rPr>
          <w:rFonts w:ascii="Arial" w:hAnsi="Arial" w:cs="Arial"/>
        </w:rPr>
        <w:t xml:space="preserve">Additionally, many of the </w:t>
      </w:r>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bS21-2 responsive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16064B6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1D378A4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p>
    <w:p w14:paraId="68221F9F" w14:textId="258A7641"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Pr="00E51CFE">
        <w:rPr>
          <w:rFonts w:ascii="Arial" w:hAnsi="Arial" w:cs="Arial"/>
          <w:b/>
          <w:bCs/>
        </w:rPr>
        <w:t>C</w:t>
      </w:r>
      <w:r w:rsidRPr="00E51CFE">
        <w:rPr>
          <w:rFonts w:ascii="Arial" w:hAnsi="Arial" w:cs="Arial"/>
        </w:rPr>
        <w:t xml:space="preserve">) (Trautmann </w:t>
      </w:r>
      <w:r>
        <w:rPr>
          <w:rFonts w:ascii="Arial" w:hAnsi="Arial" w:cs="Arial"/>
        </w:rPr>
        <w:t>&amp;</w:t>
      </w:r>
      <w:r w:rsidRPr="00E51CFE">
        <w:rPr>
          <w:rFonts w:ascii="Arial" w:hAnsi="Arial" w:cs="Arial"/>
        </w:rPr>
        <w:t xml:space="preserve"> Ramsey, 2022).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C</w:t>
      </w:r>
      <w:r w:rsidRPr="00E51CFE">
        <w:rPr>
          <w:rFonts w:ascii="Arial" w:hAnsi="Arial" w:cs="Arial"/>
        </w:rPr>
        <w:t>). This is in contrast to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 xml:space="preserve">C; </w:t>
      </w:r>
      <w:r w:rsidRPr="00E51CFE">
        <w:rPr>
          <w:rFonts w:ascii="Arial" w:hAnsi="Arial" w:cs="Arial"/>
        </w:rPr>
        <w:t xml:space="preserve">Trautmann &amp; Ramsey, 2022). These data suggest that Hfq regulates expression of proteins </w:t>
      </w:r>
      <w:r w:rsidRPr="00E51CFE">
        <w:rPr>
          <w:rFonts w:ascii="Arial" w:hAnsi="Arial" w:cs="Arial"/>
        </w:rPr>
        <w:lastRenderedPageBreak/>
        <w:t xml:space="preserve">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p>
    <w:p w14:paraId="00241279" w14:textId="67C8C1A5"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p>
    <w:p w14:paraId="02E55B2A" w14:textId="0E89C6AF"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Pr="00E51CFE">
        <w:rPr>
          <w:rFonts w:ascii="Arial" w:hAnsi="Arial" w:cs="Arial"/>
          <w:b/>
          <w:bCs/>
        </w:rPr>
        <w:t>E</w:t>
      </w:r>
      <w:r w:rsidR="001C2694">
        <w:rPr>
          <w:rFonts w:ascii="Arial" w:hAnsi="Arial" w:cs="Arial"/>
          <w:b/>
          <w:bCs/>
        </w:rPr>
        <w:t>; Table S3</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28D5257D"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E</w:t>
      </w:r>
      <w:r>
        <w:rPr>
          <w:rFonts w:ascii="Arial" w:hAnsi="Arial" w:cs="Arial"/>
        </w:rPr>
        <w:t xml:space="preserve">). Conversely, bS21-2 influences the abundance of </w:t>
      </w:r>
      <w:r>
        <w:rPr>
          <w:rFonts w:ascii="Arial" w:hAnsi="Arial" w:cs="Arial"/>
        </w:rPr>
        <w:lastRenderedPageBreak/>
        <w:t>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Pr="00417D22">
        <w:rPr>
          <w:rFonts w:ascii="Arial" w:hAnsi="Arial" w:cs="Arial"/>
          <w:b/>
          <w:bCs/>
        </w:rPr>
        <w:t>D</w:t>
      </w:r>
      <w:r>
        <w:rPr>
          <w:rFonts w:ascii="Arial" w:hAnsi="Arial" w:cs="Arial"/>
        </w:rPr>
        <w:t xml:space="preserve"> and Trautmann &amp; Ramsey, 2022).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238B67F2"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Our work clearly demonstrates that Hfq is a negative regulator of 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(Meibom</w:t>
      </w:r>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w:t>
      </w:r>
      <w:r w:rsidR="006B1EB4" w:rsidRPr="00D74CD6">
        <w:rPr>
          <w:rFonts w:ascii="Arial" w:hAnsi="Arial" w:cs="Arial"/>
        </w:rPr>
        <w:lastRenderedPageBreak/>
        <w:t xml:space="preserve">synthesis. Thus, we conclude that Hfq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60CADDDC"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w:t>
      </w:r>
      <w:r w:rsidR="00A300E7">
        <w:rPr>
          <w:rFonts w:ascii="Arial" w:hAnsi="Arial" w:cs="Arial"/>
        </w:rPr>
        <w:t>, which do not have bS21-2 responsive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genes.</w:t>
      </w:r>
    </w:p>
    <w:p w14:paraId="1782D1C5" w14:textId="200DDBF4"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w:t>
      </w:r>
      <w:r w:rsidR="00894CB6">
        <w:rPr>
          <w:rFonts w:ascii="Arial" w:hAnsi="Arial" w:cs="Arial"/>
          <w:b/>
          <w:bCs/>
        </w:rPr>
        <w:t>3</w:t>
      </w:r>
      <w:r w:rsidR="00A300E7">
        <w:rPr>
          <w:rFonts w:ascii="Arial" w:hAnsi="Arial" w:cs="Arial"/>
          <w:b/>
          <w:bCs/>
        </w:rPr>
        <w:t>, S</w:t>
      </w:r>
      <w:r w:rsidR="00894CB6">
        <w:rPr>
          <w:rFonts w:ascii="Arial" w:hAnsi="Arial" w:cs="Arial"/>
          <w:b/>
          <w:bCs/>
        </w:rPr>
        <w:t>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40E0148" w14:textId="455673C0" w:rsidR="00A300E7" w:rsidRDefault="004E070B" w:rsidP="00E24D0B">
      <w:pPr>
        <w:spacing w:before="100" w:beforeAutospacing="1" w:after="100" w:afterAutospacing="1" w:line="480" w:lineRule="auto"/>
        <w:ind w:firstLine="720"/>
        <w:jc w:val="both"/>
        <w:rPr>
          <w:rFonts w:ascii="Arial" w:hAnsi="Arial" w:cs="Arial"/>
        </w:rPr>
      </w:pPr>
      <w:r w:rsidRPr="00D74CD6">
        <w:rPr>
          <w:rFonts w:ascii="Arial" w:hAnsi="Arial" w:cs="Arial"/>
        </w:rPr>
        <w:lastRenderedPageBreak/>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r w:rsidR="00851A83" w:rsidRPr="00D74CD6">
        <w:rPr>
          <w:rFonts w:ascii="Arial" w:hAnsi="Arial" w:cs="Arial"/>
        </w:rPr>
        <w:t>nt sequence in</w:t>
      </w:r>
      <w:r w:rsidRPr="00D74CD6">
        <w:rPr>
          <w:rFonts w:ascii="Arial" w:hAnsi="Arial" w:cs="Arial"/>
        </w:rPr>
        <w:t xml:space="preserve"> the </w:t>
      </w:r>
      <w:r w:rsidRPr="00D74CD6">
        <w:rPr>
          <w:rFonts w:ascii="Arial" w:hAnsi="Arial" w:cs="Arial"/>
          <w:i/>
          <w:iCs/>
        </w:rPr>
        <w:t>mraY</w:t>
      </w:r>
      <w:r w:rsidRPr="00D74CD6">
        <w:rPr>
          <w:rFonts w:ascii="Arial" w:hAnsi="Arial" w:cs="Arial"/>
        </w:rPr>
        <w:t xml:space="preserve"> 5´ UTR that leads to </w:t>
      </w:r>
      <w:r w:rsidR="00851A83" w:rsidRPr="00D74CD6">
        <w:rPr>
          <w:rFonts w:ascii="Arial" w:hAnsi="Arial" w:cs="Arial"/>
        </w:rPr>
        <w:t>bS21-2 responsiv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S2</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r w:rsidR="00BE0CFE">
        <w:rPr>
          <w:rFonts w:ascii="Arial" w:hAnsi="Arial" w:cs="Arial"/>
        </w:rPr>
        <w:t xml:space="preserve">While this sequence is not universally required for responsiveness to bS21-2, it does reveal that specific leader sequences lead to increased translation by ribosomes with bS21-2. </w:t>
      </w:r>
      <w:r w:rsidR="00E24D0B">
        <w:rPr>
          <w:rFonts w:ascii="Arial" w:hAnsi="Arial" w:cs="Arial"/>
        </w:rPr>
        <w:t xml:space="preserve">This is quite different from bS21 homologs in Bacteroidia, which also influence translation in a sequence dependent manner, but exert their effects by altering accessibility to the anti-Shine-Dalgarno sequence. </w:t>
      </w:r>
      <w:r w:rsidR="00BE0CFE">
        <w:rPr>
          <w:rFonts w:ascii="Arial" w:hAnsi="Arial" w:cs="Arial"/>
        </w:rPr>
        <w:t xml:space="preserve">This raises the possibility that other bS21 homologs, in </w:t>
      </w:r>
      <w:r w:rsidR="00BE0CFE" w:rsidRPr="000A62E1">
        <w:rPr>
          <w:rFonts w:ascii="Arial" w:hAnsi="Arial" w:cs="Arial"/>
          <w:i/>
          <w:iCs/>
        </w:rPr>
        <w:t>F. tularensis</w:t>
      </w:r>
      <w:r w:rsidR="00BE0CFE">
        <w:rPr>
          <w:rFonts w:ascii="Arial" w:hAnsi="Arial" w:cs="Arial"/>
        </w:rPr>
        <w:t xml:space="preserve"> and other organisms, may influence translation </w:t>
      </w:r>
      <w:r w:rsidR="009762B0">
        <w:rPr>
          <w:rFonts w:ascii="Arial" w:hAnsi="Arial" w:cs="Arial"/>
        </w:rPr>
        <w:t xml:space="preserve">in a leader-sequence dependent manner. </w:t>
      </w:r>
      <w:r w:rsidR="00BE0CFE">
        <w:rPr>
          <w:rFonts w:ascii="Arial" w:hAnsi="Arial" w:cs="Arial"/>
        </w:rPr>
        <w:t xml:space="preserve"> </w:t>
      </w:r>
    </w:p>
    <w:p w14:paraId="1F1DDE62" w14:textId="3A5D66B7"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 The molecular mechanism by which Hfq exerts its effects on this operon, and if it involves a small RNA, remain unclear. Regardless, the change in production </w:t>
      </w:r>
      <w:r w:rsidRPr="00D74CD6">
        <w:rPr>
          <w:rFonts w:ascii="Arial" w:hAnsi="Arial" w:cs="Arial"/>
        </w:rPr>
        <w:lastRenderedPageBreak/>
        <w:t>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Tn7:</w:t>
      </w:r>
      <w:r w:rsidR="00BC7BFD">
        <w:rPr>
          <w:rFonts w:ascii="Arial" w:hAnsi="Arial" w:cs="Arial"/>
          <w:u w:val="single"/>
        </w:rPr>
        <w:t>:</w:t>
      </w:r>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r w:rsidRPr="00CD7270">
        <w:rPr>
          <w:rFonts w:ascii="Arial" w:hAnsi="Arial" w:cs="Arial"/>
          <w:i/>
          <w:iCs/>
        </w:rPr>
        <w:t>pigR</w:t>
      </w:r>
      <w:r w:rsidRPr="003421DD">
        <w:rPr>
          <w:rFonts w:ascii="Arial" w:hAnsi="Arial" w:cs="Arial"/>
        </w:rPr>
        <w:t>::</w:t>
      </w:r>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5´ primer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5´ primer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end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Strains used in this study</w:t>
      </w:r>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E72F53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w:t>
            </w:r>
            <w:r w:rsidR="00AF638E">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368F4C35"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52F1FD63"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w:t>
            </w:r>
            <w:r w:rsidR="00AF638E">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Tn7::P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5AD5329E"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w:t>
            </w:r>
            <w:r w:rsidR="002D6C1F">
              <w:rPr>
                <w:rFonts w:ascii="Arial" w:hAnsi="Arial" w:cs="Arial"/>
                <w:color w:val="000000"/>
                <w:sz w:val="18"/>
                <w:szCs w:val="18"/>
              </w:rPr>
              <w:t>6</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Tn7::P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Tn7::P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Tn7::P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Tn7::P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31D15" w:rsidRPr="00CD7270" w14:paraId="5C7E156C"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7F3E44" w14:textId="54C15558"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7E84AA2A" w14:textId="17F3F3A7"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42810A03" w14:textId="04D7099D" w:rsidR="00C31D15" w:rsidRPr="00393992" w:rsidRDefault="00C31D15" w:rsidP="00C31D15">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6B69FF90" w14:textId="48988B80"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1D7E339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6C08AF77" w14:textId="1F2C8192"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24406344" w14:textId="0973903D" w:rsidR="00C31D15" w:rsidRPr="00393992" w:rsidRDefault="00C31D15" w:rsidP="00C31D15">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552CE512" w14:textId="3171319A" w:rsidR="00C31D15" w:rsidRPr="00393992" w:rsidRDefault="00C31D15" w:rsidP="00C31D15">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365CB450" w14:textId="5E88B8AF" w:rsidR="00C31D15" w:rsidRPr="00393992" w:rsidRDefault="00C31D15" w:rsidP="00C31D15">
            <w:pPr>
              <w:rPr>
                <w:rFonts w:ascii="Arial" w:hAnsi="Arial" w:cs="Arial"/>
                <w:color w:val="000000"/>
                <w:sz w:val="18"/>
                <w:szCs w:val="18"/>
              </w:rPr>
            </w:pPr>
            <w:r w:rsidRPr="00843108">
              <w:rPr>
                <w:rFonts w:ascii="Arial" w:hAnsi="Arial" w:cs="Arial"/>
                <w:color w:val="000000"/>
                <w:sz w:val="18"/>
                <w:szCs w:val="18"/>
              </w:rPr>
              <w:t>pKR155</w:t>
            </w:r>
          </w:p>
        </w:tc>
      </w:tr>
      <w:tr w:rsidR="00C31D15"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31D15"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pKL111</w:t>
            </w:r>
          </w:p>
        </w:tc>
      </w:tr>
      <w:tr w:rsidR="00C31D15"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31D15" w:rsidRPr="00393992" w:rsidRDefault="00C31D15" w:rsidP="00C31D15">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31D15"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r w:rsidR="00C31D15"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31D15" w:rsidRPr="00393992" w:rsidRDefault="00C31D15" w:rsidP="00C31D15">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31D15" w:rsidRPr="00393992" w:rsidRDefault="00C31D15" w:rsidP="00C31D15">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lastRenderedPageBreak/>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LVS was grown in biological triplicate to mid-log phase. Pelleted cells (10 mL) were 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 xml:space="preserve">Research Excellence from the National Institute of General </w:t>
      </w:r>
      <w:r w:rsidRPr="00C341D7">
        <w:rPr>
          <w:rFonts w:ascii="Arial" w:hAnsi="Arial" w:cs="Arial"/>
        </w:rPr>
        <w:lastRenderedPageBreak/>
        <w:t>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8"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18"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9"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r>
        <w:rPr>
          <w:rFonts w:ascii="Arial" w:hAnsi="Arial" w:cs="Arial"/>
        </w:rPr>
        <w:t>Kaledhonkar</w:t>
      </w:r>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0"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0"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E4EC" w14:textId="77777777" w:rsidR="00A050F0" w:rsidRDefault="00A050F0" w:rsidP="004B6DE2">
      <w:r>
        <w:separator/>
      </w:r>
    </w:p>
  </w:endnote>
  <w:endnote w:type="continuationSeparator" w:id="0">
    <w:p w14:paraId="550F8311" w14:textId="77777777" w:rsidR="00A050F0" w:rsidRDefault="00A050F0"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4EE2" w14:textId="77777777" w:rsidR="00A050F0" w:rsidRDefault="00A050F0" w:rsidP="004B6DE2">
      <w:r>
        <w:separator/>
      </w:r>
    </w:p>
  </w:footnote>
  <w:footnote w:type="continuationSeparator" w:id="0">
    <w:p w14:paraId="6ED36B11" w14:textId="77777777" w:rsidR="00A050F0" w:rsidRDefault="00A050F0"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US" w:vendorID="64" w:dllVersion="4096"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sFAM05mCQ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9545</Words>
  <Characters>54408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6</cp:revision>
  <cp:lastPrinted>2022-07-14T15:25:00Z</cp:lastPrinted>
  <dcterms:created xsi:type="dcterms:W3CDTF">2023-06-23T18:59:00Z</dcterms:created>
  <dcterms:modified xsi:type="dcterms:W3CDTF">2023-06-26T19:06:00Z</dcterms:modified>
</cp:coreProperties>
</file>