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5CB7" w14:textId="77777777" w:rsidR="00092153" w:rsidRPr="00092153" w:rsidRDefault="00CA012F" w:rsidP="00CA012F">
      <w:pPr>
        <w:pStyle w:val="NormalWeb"/>
        <w:rPr>
          <w:rFonts w:ascii="Calibri" w:hAnsi="Calibri" w:cs="Calibri"/>
          <w:u w:val="single"/>
        </w:rPr>
      </w:pPr>
      <w:r w:rsidRPr="00092153">
        <w:rPr>
          <w:rFonts w:ascii="Calibri" w:hAnsi="Calibri" w:cs="Calibri"/>
          <w:u w:val="single"/>
        </w:rPr>
        <w:t>Point-by-point response to reviewer comments</w:t>
      </w:r>
    </w:p>
    <w:p w14:paraId="5C0DAE7B" w14:textId="238CC904" w:rsidR="00CA012F" w:rsidRPr="00CA012F" w:rsidRDefault="00CA012F" w:rsidP="00CA012F">
      <w:pPr>
        <w:pStyle w:val="NormalWeb"/>
        <w:rPr>
          <w:rFonts w:ascii="Calibri" w:hAnsi="Calibri" w:cs="Calibri"/>
        </w:rPr>
      </w:pPr>
      <w:r w:rsidRPr="00CA012F">
        <w:rPr>
          <w:rFonts w:ascii="Calibri" w:hAnsi="Calibri" w:cs="Calibri"/>
        </w:rPr>
        <w:t xml:space="preserve">The reviewer comments are in </w:t>
      </w:r>
      <w:r w:rsidRPr="00CA012F">
        <w:rPr>
          <w:rFonts w:ascii="Calibri" w:hAnsi="Calibri" w:cs="Calibri"/>
          <w:b/>
          <w:bCs/>
          <w:color w:val="006DBF"/>
        </w:rPr>
        <w:t xml:space="preserve">blue </w:t>
      </w:r>
      <w:r w:rsidRPr="00CA012F">
        <w:rPr>
          <w:rFonts w:ascii="Calibri" w:hAnsi="Calibri" w:cs="Calibri"/>
        </w:rPr>
        <w:t xml:space="preserve">and our responses are in </w:t>
      </w:r>
      <w:r w:rsidRPr="00CA012F">
        <w:rPr>
          <w:rFonts w:ascii="Calibri" w:hAnsi="Calibri" w:cs="Calibri"/>
          <w:b/>
          <w:bCs/>
        </w:rPr>
        <w:t>black</w:t>
      </w:r>
      <w:r w:rsidRPr="00CA012F">
        <w:rPr>
          <w:rFonts w:ascii="Calibri" w:hAnsi="Calibri" w:cs="Calibri"/>
        </w:rPr>
        <w:t xml:space="preserve">. </w:t>
      </w:r>
    </w:p>
    <w:p w14:paraId="53B8C718" w14:textId="6610C822" w:rsidR="00717885" w:rsidRPr="00CA012F" w:rsidRDefault="00CA012F" w:rsidP="002719B3">
      <w:pPr>
        <w:rPr>
          <w:rFonts w:ascii="Calibri" w:hAnsi="Calibri" w:cs="Calibri"/>
          <w:b/>
          <w:bCs/>
          <w:color w:val="4472C4" w:themeColor="accent1"/>
          <w:u w:val="single"/>
        </w:rPr>
      </w:pPr>
      <w:r w:rsidRPr="00CA012F">
        <w:rPr>
          <w:rFonts w:ascii="Calibri" w:hAnsi="Calibri" w:cs="Calibri"/>
          <w:b/>
          <w:bCs/>
          <w:color w:val="4472C4" w:themeColor="accent1"/>
          <w:u w:val="single"/>
        </w:rPr>
        <w:t>Reviewer #1</w:t>
      </w:r>
    </w:p>
    <w:p w14:paraId="5344A998" w14:textId="32916260" w:rsidR="0067113A" w:rsidRDefault="00CA012F" w:rsidP="0067113A">
      <w:pPr>
        <w:ind w:firstLine="720"/>
        <w:rPr>
          <w:rFonts w:ascii="Calibri" w:eastAsia="Times New Roman" w:hAnsi="Calibri" w:cs="Calibri"/>
          <w:color w:val="4472C4" w:themeColor="accent1"/>
        </w:rPr>
      </w:pPr>
      <w:r w:rsidRPr="00CA012F">
        <w:rPr>
          <w:rFonts w:ascii="Calibri" w:eastAsia="Times New Roman" w:hAnsi="Calibri" w:cs="Calibri"/>
          <w:color w:val="4472C4" w:themeColor="accent1"/>
        </w:rPr>
        <w:t xml:space="preserve">The manuscript by Trautman and Ramsey describes an interesting case of ribosomal protein bS21 redundancy in Francisella tularensis, which contains 3 homologs of this protein, each incorporated in ribosomes. They show that a loss of the major homolog bS21-2 (found in the equivalent operon as in E. coli), shows defects in the levels of 185 proteins including most of those from the Francisella pathogenicity island (FPI) that govern the production of several type 6 secretion system (T6SS) homologs and the ability to grow in macrophages. The experiments are generally well-performed and the paper is well-written and easy to read. Most of the obvious considerations such as changes in global growth rate that could provide a simplistic explanation for the macrophage growth defect are addressed in complementation studies with the different variants. </w:t>
      </w:r>
    </w:p>
    <w:p w14:paraId="6B7843B8" w14:textId="727B99B8" w:rsidR="00CA012F" w:rsidRPr="00CA012F" w:rsidRDefault="00CA012F" w:rsidP="00CA012F">
      <w:pPr>
        <w:ind w:firstLine="720"/>
        <w:rPr>
          <w:rFonts w:ascii="Calibri" w:eastAsia="Times New Roman" w:hAnsi="Calibri" w:cs="Calibri"/>
          <w:color w:val="4472C4" w:themeColor="accent1"/>
        </w:rPr>
      </w:pPr>
      <w:r w:rsidRPr="00CA012F">
        <w:rPr>
          <w:rFonts w:ascii="Calibri" w:eastAsia="Times New Roman" w:hAnsi="Calibri" w:cs="Calibri"/>
          <w:color w:val="4472C4" w:themeColor="accent1"/>
        </w:rPr>
        <w:t>My only major criticism is the use of the word 'control' or 'regulation' throughout the manuscript. There is no evidence yet that this phenomenon is regulatory, ie that the levels of bS21-2 can vary throughout the life cycle of Francisella, or in response to changes in environmental conditions, to regulate the expression of FPI mRNAs. The role of bS21-2 could be constitutive and simply reflect different levels of sensitivity of certain mRNAs to bS21 levels that will remain the same regardless of the condition. I am OK with the terms 'determines', 'governs' or even the more nuanced term 'modulate', but without further experiments to show bS21-2 levels vary, the terms 'regulation' and 'control' should be avoided, since these have a specific connotation</w:t>
      </w:r>
    </w:p>
    <w:p w14:paraId="731318D1" w14:textId="7FCAE1E0" w:rsidR="00CA012F" w:rsidRPr="0067113A" w:rsidRDefault="00CA012F" w:rsidP="002719B3">
      <w:pPr>
        <w:rPr>
          <w:rFonts w:ascii="Calibri" w:hAnsi="Calibri" w:cs="Calibri"/>
        </w:rPr>
      </w:pPr>
    </w:p>
    <w:p w14:paraId="25484E48" w14:textId="2A0B96DA" w:rsidR="00CA012F" w:rsidRPr="0067113A" w:rsidRDefault="00CA012F" w:rsidP="002719B3">
      <w:pPr>
        <w:rPr>
          <w:rFonts w:ascii="Calibri" w:hAnsi="Calibri" w:cs="Calibri"/>
        </w:rPr>
      </w:pPr>
      <w:r w:rsidRPr="0067113A">
        <w:rPr>
          <w:rFonts w:ascii="Calibri" w:hAnsi="Calibri" w:cs="Calibri"/>
        </w:rPr>
        <w:t>Response 1</w:t>
      </w:r>
    </w:p>
    <w:p w14:paraId="1852FFEB" w14:textId="08DD4AB4" w:rsidR="00CA012F" w:rsidRPr="0067113A" w:rsidRDefault="00CA012F" w:rsidP="002719B3">
      <w:pPr>
        <w:rPr>
          <w:rFonts w:ascii="Calibri" w:hAnsi="Calibri" w:cs="Calibri"/>
        </w:rPr>
      </w:pPr>
      <w:r w:rsidRPr="0067113A">
        <w:rPr>
          <w:rFonts w:ascii="Calibri" w:hAnsi="Calibri" w:cs="Calibri"/>
        </w:rPr>
        <w:t>We</w:t>
      </w:r>
      <w:r w:rsidR="0067113A">
        <w:rPr>
          <w:rFonts w:ascii="Calibri" w:hAnsi="Calibri" w:cs="Calibri"/>
        </w:rPr>
        <w:t xml:space="preserve"> agree with the reviewer that we have yet to demonstrate variation in bS21-2 levels that suggest bS21-2 functions in a regulatory capacity. We</w:t>
      </w:r>
      <w:r w:rsidRPr="0067113A">
        <w:rPr>
          <w:rFonts w:ascii="Calibri" w:hAnsi="Calibri" w:cs="Calibri"/>
        </w:rPr>
        <w:t xml:space="preserve"> appreciate the reviewer’s point and have modified our language </w:t>
      </w:r>
      <w:r w:rsidR="0067113A" w:rsidRPr="0067113A">
        <w:rPr>
          <w:rFonts w:ascii="Calibri" w:hAnsi="Calibri" w:cs="Calibri"/>
        </w:rPr>
        <w:t>accordingly.</w:t>
      </w:r>
    </w:p>
    <w:p w14:paraId="53C18D4B" w14:textId="43566A9C" w:rsidR="0067113A" w:rsidRPr="0067113A" w:rsidRDefault="0067113A" w:rsidP="002719B3">
      <w:pPr>
        <w:rPr>
          <w:rFonts w:ascii="Calibri" w:hAnsi="Calibri" w:cs="Calibri"/>
        </w:rPr>
      </w:pPr>
    </w:p>
    <w:p w14:paraId="6544BFE1" w14:textId="5B2D0114" w:rsidR="0067113A" w:rsidRPr="0067113A" w:rsidRDefault="0067113A" w:rsidP="002719B3">
      <w:pPr>
        <w:rPr>
          <w:rFonts w:ascii="Calibri" w:hAnsi="Calibri" w:cs="Calibri"/>
          <w:b/>
          <w:bCs/>
          <w:color w:val="4472C4" w:themeColor="accent1"/>
          <w:u w:val="single"/>
        </w:rPr>
      </w:pPr>
      <w:r w:rsidRPr="0067113A">
        <w:rPr>
          <w:rFonts w:ascii="Calibri" w:hAnsi="Calibri" w:cs="Calibri"/>
          <w:b/>
          <w:bCs/>
          <w:color w:val="4472C4" w:themeColor="accent1"/>
          <w:u w:val="single"/>
        </w:rPr>
        <w:t>Reviewer #2</w:t>
      </w:r>
    </w:p>
    <w:p w14:paraId="4AF1EAF2" w14:textId="77777777" w:rsidR="0067113A" w:rsidRPr="0067113A" w:rsidRDefault="0067113A" w:rsidP="0067113A">
      <w:pPr>
        <w:rPr>
          <w:rFonts w:ascii="Calibri" w:eastAsia="Times New Roman" w:hAnsi="Calibri" w:cs="Calibri"/>
          <w:color w:val="4472C4" w:themeColor="accent1"/>
        </w:rPr>
      </w:pPr>
      <w:r w:rsidRPr="0067113A">
        <w:rPr>
          <w:rFonts w:ascii="Calibri" w:eastAsia="Times New Roman" w:hAnsi="Calibri" w:cs="Calibri"/>
          <w:color w:val="4472C4" w:themeColor="accent1"/>
        </w:rPr>
        <w:t>Specific comments:</w:t>
      </w:r>
      <w:r w:rsidRPr="0067113A">
        <w:rPr>
          <w:rFonts w:ascii="Calibri" w:eastAsia="Times New Roman" w:hAnsi="Calibri" w:cs="Calibri"/>
          <w:color w:val="4472C4" w:themeColor="accent1"/>
        </w:rPr>
        <w:br/>
      </w:r>
      <w:r w:rsidRPr="0067113A">
        <w:rPr>
          <w:rFonts w:ascii="Calibri" w:eastAsia="Times New Roman" w:hAnsi="Calibri" w:cs="Calibri"/>
          <w:color w:val="4472C4" w:themeColor="accent1"/>
        </w:rPr>
        <w:br/>
        <w:t>Raw RNAseq data should be submitted to GEO or another appropriate repository, and the accession number should be stated in the manuscript.</w:t>
      </w:r>
    </w:p>
    <w:p w14:paraId="0673FAB3" w14:textId="77777777" w:rsidR="0067113A" w:rsidRDefault="0067113A" w:rsidP="0067113A">
      <w:pPr>
        <w:rPr>
          <w:rFonts w:ascii="Calibri" w:eastAsia="Times New Roman" w:hAnsi="Calibri" w:cs="Calibri"/>
        </w:rPr>
      </w:pPr>
    </w:p>
    <w:p w14:paraId="556D349A" w14:textId="581B2814" w:rsidR="00D656B5" w:rsidRDefault="00D656B5" w:rsidP="0067113A">
      <w:pPr>
        <w:rPr>
          <w:rFonts w:ascii="Calibri" w:eastAsia="Times New Roman" w:hAnsi="Calibri" w:cs="Calibri"/>
        </w:rPr>
      </w:pPr>
      <w:r>
        <w:rPr>
          <w:rFonts w:ascii="Calibri" w:eastAsia="Times New Roman" w:hAnsi="Calibri" w:cs="Calibri"/>
        </w:rPr>
        <w:t>Response 2</w:t>
      </w:r>
    </w:p>
    <w:p w14:paraId="0E9C2C0B" w14:textId="70894A80" w:rsidR="0067113A" w:rsidRDefault="0067113A" w:rsidP="0067113A">
      <w:pPr>
        <w:rPr>
          <w:rFonts w:ascii="Calibri" w:eastAsia="Times New Roman" w:hAnsi="Calibri" w:cs="Calibri"/>
        </w:rPr>
      </w:pPr>
      <w:r>
        <w:rPr>
          <w:rFonts w:ascii="Calibri" w:eastAsia="Times New Roman" w:hAnsi="Calibri" w:cs="Calibri"/>
        </w:rPr>
        <w:t xml:space="preserve">We have submitted the RNA-Seq files to GEO and included the accession number in the manuscript (line </w:t>
      </w:r>
      <w:r w:rsidR="00EE2BDB">
        <w:rPr>
          <w:rFonts w:ascii="Calibri" w:eastAsia="Times New Roman" w:hAnsi="Calibri" w:cs="Calibri"/>
        </w:rPr>
        <w:t>376</w:t>
      </w:r>
      <w:r>
        <w:rPr>
          <w:rFonts w:ascii="Calibri" w:eastAsia="Times New Roman" w:hAnsi="Calibri" w:cs="Calibri"/>
        </w:rPr>
        <w:t xml:space="preserve">, accession number </w:t>
      </w:r>
      <w:r w:rsidRPr="004A2C4F">
        <w:rPr>
          <w:rFonts w:cstheme="minorHAnsi"/>
        </w:rPr>
        <w:t>GSE210766</w:t>
      </w:r>
      <w:r>
        <w:rPr>
          <w:rFonts w:cstheme="minorHAnsi"/>
        </w:rPr>
        <w:t xml:space="preserve">). </w:t>
      </w:r>
    </w:p>
    <w:p w14:paraId="6D601850" w14:textId="77777777" w:rsidR="0067113A" w:rsidRDefault="0067113A" w:rsidP="0067113A">
      <w:pPr>
        <w:rPr>
          <w:rFonts w:ascii="Calibri" w:eastAsia="Times New Roman" w:hAnsi="Calibri" w:cs="Calibri"/>
        </w:rPr>
      </w:pPr>
      <w:r w:rsidRPr="0067113A">
        <w:rPr>
          <w:rFonts w:ascii="Calibri" w:eastAsia="Times New Roman" w:hAnsi="Calibri" w:cs="Calibri"/>
        </w:rPr>
        <w:br/>
      </w:r>
      <w:r w:rsidRPr="0067113A">
        <w:rPr>
          <w:rFonts w:ascii="Calibri" w:eastAsia="Times New Roman" w:hAnsi="Calibri" w:cs="Calibri"/>
          <w:color w:val="4472C4" w:themeColor="accent1"/>
        </w:rPr>
        <w:t>Table S3 should show the data for the entire transcriptome, not just the genes that met the threshold for significance set by the authors. I strongly believe that all 'omics datasets should be published in full, not just subsets of genes selected by the authors.</w:t>
      </w:r>
    </w:p>
    <w:p w14:paraId="6031E27D" w14:textId="77777777" w:rsidR="0067113A" w:rsidRDefault="0067113A" w:rsidP="0067113A">
      <w:pPr>
        <w:rPr>
          <w:rFonts w:ascii="Calibri" w:eastAsia="Times New Roman" w:hAnsi="Calibri" w:cs="Calibri"/>
        </w:rPr>
      </w:pPr>
    </w:p>
    <w:p w14:paraId="5D056D6B" w14:textId="630F3109" w:rsidR="00D656B5" w:rsidRDefault="00D656B5" w:rsidP="0067113A">
      <w:pPr>
        <w:rPr>
          <w:rFonts w:ascii="Calibri" w:eastAsia="Times New Roman" w:hAnsi="Calibri" w:cs="Calibri"/>
        </w:rPr>
      </w:pPr>
      <w:r>
        <w:rPr>
          <w:rFonts w:ascii="Calibri" w:eastAsia="Times New Roman" w:hAnsi="Calibri" w:cs="Calibri"/>
        </w:rPr>
        <w:lastRenderedPageBreak/>
        <w:t>Response 3</w:t>
      </w:r>
    </w:p>
    <w:p w14:paraId="1E6A1F28" w14:textId="7775A22F" w:rsidR="0067113A" w:rsidRDefault="0067113A" w:rsidP="0067113A">
      <w:pPr>
        <w:rPr>
          <w:rFonts w:ascii="Calibri" w:eastAsia="Times New Roman" w:hAnsi="Calibri" w:cs="Calibri"/>
        </w:rPr>
      </w:pPr>
      <w:r>
        <w:rPr>
          <w:rFonts w:ascii="Calibri" w:eastAsia="Times New Roman" w:hAnsi="Calibri" w:cs="Calibri"/>
        </w:rPr>
        <w:t>We appreciate the reviewer’s point and agree. We have modified Table S3 to include the entire transcriptome</w:t>
      </w:r>
      <w:r w:rsidR="00560BE6">
        <w:rPr>
          <w:rFonts w:ascii="Calibri" w:eastAsia="Times New Roman" w:hAnsi="Calibri" w:cs="Calibri"/>
        </w:rPr>
        <w:t xml:space="preserve">. Because Table S4 in our original draft consisted only of RNA-Seq data for the Francisella Pathogenicity Island genes, the original Table S4 </w:t>
      </w:r>
      <w:r w:rsidR="00092153">
        <w:rPr>
          <w:rFonts w:ascii="Calibri" w:eastAsia="Times New Roman" w:hAnsi="Calibri" w:cs="Calibri"/>
        </w:rPr>
        <w:t>is</w:t>
      </w:r>
      <w:r w:rsidR="00560BE6">
        <w:rPr>
          <w:rFonts w:ascii="Calibri" w:eastAsia="Times New Roman" w:hAnsi="Calibri" w:cs="Calibri"/>
        </w:rPr>
        <w:t xml:space="preserve"> redundant and we have removed it. </w:t>
      </w:r>
    </w:p>
    <w:p w14:paraId="5DB91BC5" w14:textId="77777777" w:rsidR="00560BE6" w:rsidRDefault="00560BE6" w:rsidP="0067113A">
      <w:pPr>
        <w:rPr>
          <w:rFonts w:ascii="Calibri" w:eastAsia="Times New Roman" w:hAnsi="Calibri" w:cs="Calibri"/>
        </w:rPr>
      </w:pPr>
    </w:p>
    <w:p w14:paraId="2D8170E8" w14:textId="7B288D13" w:rsidR="00560BE6" w:rsidRPr="00560BE6" w:rsidRDefault="0067113A" w:rsidP="0067113A">
      <w:pPr>
        <w:rPr>
          <w:rFonts w:ascii="Calibri" w:eastAsia="Times New Roman" w:hAnsi="Calibri" w:cs="Calibri"/>
          <w:color w:val="4472C4" w:themeColor="accent1"/>
        </w:rPr>
      </w:pPr>
      <w:r w:rsidRPr="0067113A">
        <w:rPr>
          <w:rFonts w:ascii="Calibri" w:eastAsia="Times New Roman" w:hAnsi="Calibri" w:cs="Calibri"/>
          <w:color w:val="4472C4" w:themeColor="accent1"/>
        </w:rPr>
        <w:t>The authors chose an RNAseq fold-change cutoff to classify genes as having transcript abundance changes or not. Using their cutoff, most genes with altered protein levels did not have corresponding changes in transcript abundance. However, there appears to be a trend towards corresponding changes in transcript abundance for many of these proteins (Figure 2). While this does not affect the conclusions regarding the type VI secretion system genes, I think it should be mentioned as an important caveat to the broader interpretation of bS21 affecting many genes at the level of translation. Many of the genes shown as yellow dots in Figure 2 appear to have small changes in transcript abundance that could explain the differences in protein abundance. It is also possible that many genes have modestly reduced transcript abundance as a consequence of reduced translation leading to faster mRNA degradation. Testing that would require measuring mRNA half-lives, which is beyond the scope of the current study, but the idea should be mentioned.</w:t>
      </w:r>
    </w:p>
    <w:p w14:paraId="65C41CB6" w14:textId="77777777" w:rsidR="00560BE6" w:rsidRDefault="00560BE6" w:rsidP="0067113A">
      <w:pPr>
        <w:rPr>
          <w:rFonts w:ascii="Calibri" w:eastAsia="Times New Roman" w:hAnsi="Calibri" w:cs="Calibri"/>
        </w:rPr>
      </w:pPr>
    </w:p>
    <w:p w14:paraId="17D7A47E" w14:textId="19CE078B" w:rsidR="00D656B5" w:rsidRDefault="00D656B5" w:rsidP="0067113A">
      <w:pPr>
        <w:rPr>
          <w:rFonts w:ascii="Calibri" w:eastAsia="Times New Roman" w:hAnsi="Calibri" w:cs="Calibri"/>
        </w:rPr>
      </w:pPr>
      <w:r>
        <w:rPr>
          <w:rFonts w:ascii="Calibri" w:eastAsia="Times New Roman" w:hAnsi="Calibri" w:cs="Calibri"/>
        </w:rPr>
        <w:t>Response 4</w:t>
      </w:r>
    </w:p>
    <w:p w14:paraId="717306CF" w14:textId="025CCFCA" w:rsidR="00560BE6" w:rsidRDefault="00560BE6" w:rsidP="0067113A">
      <w:pPr>
        <w:rPr>
          <w:rFonts w:ascii="Calibri" w:eastAsia="Times New Roman" w:hAnsi="Calibri" w:cs="Calibri"/>
        </w:rPr>
      </w:pPr>
      <w:r>
        <w:rPr>
          <w:rFonts w:ascii="Calibri" w:eastAsia="Times New Roman" w:hAnsi="Calibri" w:cs="Calibri"/>
        </w:rPr>
        <w:t>The reviewer raises an excellent point about the relationship between transcript abundance and translation. To address this comment and include the important caveat that we have not addressed RNA stability in these experiments, we have added an additional paragraph to the discussion (starting at line 2</w:t>
      </w:r>
      <w:r w:rsidR="00BD0F2D">
        <w:rPr>
          <w:rFonts w:ascii="Calibri" w:eastAsia="Times New Roman" w:hAnsi="Calibri" w:cs="Calibri"/>
        </w:rPr>
        <w:t>24</w:t>
      </w:r>
      <w:r>
        <w:rPr>
          <w:rFonts w:ascii="Calibri" w:eastAsia="Times New Roman" w:hAnsi="Calibri" w:cs="Calibri"/>
        </w:rPr>
        <w:t xml:space="preserve">). We believe this </w:t>
      </w:r>
      <w:r w:rsidR="00D656B5">
        <w:rPr>
          <w:rFonts w:ascii="Calibri" w:eastAsia="Times New Roman" w:hAnsi="Calibri" w:cs="Calibri"/>
        </w:rPr>
        <w:t>discussion</w:t>
      </w:r>
      <w:r>
        <w:rPr>
          <w:rFonts w:ascii="Calibri" w:eastAsia="Times New Roman" w:hAnsi="Calibri" w:cs="Calibri"/>
        </w:rPr>
        <w:t xml:space="preserve"> improves the paper and we thank the reviewer for </w:t>
      </w:r>
      <w:r w:rsidR="00D656B5">
        <w:rPr>
          <w:rFonts w:ascii="Calibri" w:eastAsia="Times New Roman" w:hAnsi="Calibri" w:cs="Calibri"/>
        </w:rPr>
        <w:t>suggesting</w:t>
      </w:r>
      <w:r>
        <w:rPr>
          <w:rFonts w:ascii="Calibri" w:eastAsia="Times New Roman" w:hAnsi="Calibri" w:cs="Calibri"/>
        </w:rPr>
        <w:t xml:space="preserve"> it. </w:t>
      </w:r>
    </w:p>
    <w:p w14:paraId="37BBC406" w14:textId="77777777" w:rsidR="00560BE6" w:rsidRDefault="00560BE6" w:rsidP="0067113A">
      <w:pPr>
        <w:rPr>
          <w:rFonts w:ascii="Calibri" w:eastAsia="Times New Roman" w:hAnsi="Calibri" w:cs="Calibri"/>
        </w:rPr>
      </w:pPr>
    </w:p>
    <w:p w14:paraId="3561C3A4" w14:textId="77777777" w:rsidR="00560BE6" w:rsidRPr="00D656B5" w:rsidRDefault="0067113A" w:rsidP="0067113A">
      <w:pPr>
        <w:rPr>
          <w:rFonts w:ascii="Calibri" w:eastAsia="Times New Roman" w:hAnsi="Calibri" w:cs="Calibri"/>
          <w:color w:val="4472C4" w:themeColor="accent1"/>
        </w:rPr>
      </w:pPr>
      <w:r w:rsidRPr="0067113A">
        <w:rPr>
          <w:rFonts w:ascii="Calibri" w:eastAsia="Times New Roman" w:hAnsi="Calibri" w:cs="Calibri"/>
          <w:color w:val="4472C4" w:themeColor="accent1"/>
        </w:rPr>
        <w:t xml:space="preserve">Given that bS21 is predicted to exert its function during translation initiation, it would be nice to see a little bioinformatic analysis of the ribosome binding site sequences of genes that are affected by bS21-2 deletion at the translational level vs genes that are not affected. It would be interesting to see if the affected genes differ with respect to Shine-Dalgarno sequence or with respect to the spacing between the SD sequence and the start codon. However, I understand this may be beyond the scope of the current study and I don't think it's necessary for publication. </w:t>
      </w:r>
    </w:p>
    <w:p w14:paraId="19DEAB92" w14:textId="77777777" w:rsidR="00560BE6" w:rsidRDefault="00560BE6" w:rsidP="0067113A">
      <w:pPr>
        <w:rPr>
          <w:rFonts w:ascii="Calibri" w:eastAsia="Times New Roman" w:hAnsi="Calibri" w:cs="Calibri"/>
        </w:rPr>
      </w:pPr>
    </w:p>
    <w:p w14:paraId="56B127CE" w14:textId="77777777" w:rsidR="00D656B5" w:rsidRDefault="00D656B5" w:rsidP="0067113A">
      <w:pPr>
        <w:rPr>
          <w:rFonts w:ascii="Calibri" w:eastAsia="Times New Roman" w:hAnsi="Calibri" w:cs="Calibri"/>
        </w:rPr>
      </w:pPr>
      <w:r>
        <w:rPr>
          <w:rFonts w:ascii="Calibri" w:eastAsia="Times New Roman" w:hAnsi="Calibri" w:cs="Calibri"/>
        </w:rPr>
        <w:t>Response 5</w:t>
      </w:r>
    </w:p>
    <w:p w14:paraId="64B5755B" w14:textId="1CC89963" w:rsidR="00560BE6" w:rsidRDefault="00560BE6" w:rsidP="0067113A">
      <w:pPr>
        <w:rPr>
          <w:rFonts w:ascii="Calibri" w:eastAsia="Times New Roman" w:hAnsi="Calibri" w:cs="Calibri"/>
        </w:rPr>
      </w:pPr>
      <w:r>
        <w:rPr>
          <w:rFonts w:ascii="Calibri" w:eastAsia="Times New Roman" w:hAnsi="Calibri" w:cs="Calibri"/>
        </w:rPr>
        <w:t>We agree with the review</w:t>
      </w:r>
      <w:r w:rsidR="00D656B5">
        <w:rPr>
          <w:rFonts w:ascii="Calibri" w:eastAsia="Times New Roman" w:hAnsi="Calibri" w:cs="Calibri"/>
        </w:rPr>
        <w:t xml:space="preserve">er that examining the Shine-Dalgarno sequences of regulated genes may provide insights into how bS21-2 is exerting its effects. We hope to address this point in a future manuscript. </w:t>
      </w:r>
    </w:p>
    <w:p w14:paraId="4D6F930C" w14:textId="4C690302" w:rsidR="00D656B5" w:rsidRDefault="00D656B5" w:rsidP="0067113A">
      <w:pPr>
        <w:rPr>
          <w:rFonts w:ascii="Calibri" w:eastAsia="Times New Roman" w:hAnsi="Calibri" w:cs="Calibri"/>
        </w:rPr>
      </w:pPr>
    </w:p>
    <w:p w14:paraId="68663C8E" w14:textId="6B08BA18" w:rsidR="0067113A" w:rsidRPr="0067113A" w:rsidRDefault="0067113A" w:rsidP="0067113A">
      <w:pPr>
        <w:rPr>
          <w:rFonts w:ascii="Calibri" w:eastAsia="Times New Roman" w:hAnsi="Calibri" w:cs="Calibri"/>
          <w:color w:val="4472C4" w:themeColor="accent1"/>
        </w:rPr>
      </w:pPr>
      <w:r w:rsidRPr="0067113A">
        <w:rPr>
          <w:rFonts w:ascii="Calibri" w:eastAsia="Times New Roman" w:hAnsi="Calibri" w:cs="Calibri"/>
          <w:color w:val="4472C4" w:themeColor="accent1"/>
        </w:rPr>
        <w:t>There is frequent switching between the past and present tense. The manuscript should be edited to use the past tense for all descriptions of data.</w:t>
      </w:r>
    </w:p>
    <w:p w14:paraId="688F4397" w14:textId="352DF2AC" w:rsidR="0067113A" w:rsidRPr="0067113A" w:rsidRDefault="0067113A" w:rsidP="002719B3">
      <w:pPr>
        <w:rPr>
          <w:rFonts w:ascii="Calibri" w:hAnsi="Calibri" w:cs="Calibri"/>
        </w:rPr>
      </w:pPr>
    </w:p>
    <w:p w14:paraId="6E0F94ED" w14:textId="38EC5C29" w:rsidR="00D656B5" w:rsidRDefault="00D656B5" w:rsidP="002719B3">
      <w:pPr>
        <w:rPr>
          <w:rFonts w:ascii="Calibri" w:hAnsi="Calibri" w:cs="Calibri"/>
        </w:rPr>
      </w:pPr>
      <w:r>
        <w:rPr>
          <w:rFonts w:ascii="Calibri" w:hAnsi="Calibri" w:cs="Calibri"/>
        </w:rPr>
        <w:t>Response 6</w:t>
      </w:r>
    </w:p>
    <w:p w14:paraId="7544F4EB" w14:textId="76DBECEB" w:rsidR="0067113A" w:rsidRPr="00CA012F" w:rsidRDefault="00D656B5" w:rsidP="002719B3">
      <w:pPr>
        <w:rPr>
          <w:rFonts w:ascii="Calibri" w:hAnsi="Calibri" w:cs="Calibri"/>
        </w:rPr>
      </w:pPr>
      <w:r>
        <w:rPr>
          <w:rFonts w:ascii="Calibri" w:hAnsi="Calibri" w:cs="Calibri"/>
        </w:rPr>
        <w:t xml:space="preserve">We appreciate this point and have made the appropriate corrections. </w:t>
      </w:r>
    </w:p>
    <w:sectPr w:rsidR="0067113A" w:rsidRPr="00CA0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BF"/>
    <w:rsid w:val="00017CAC"/>
    <w:rsid w:val="00092153"/>
    <w:rsid w:val="001E4257"/>
    <w:rsid w:val="002719B3"/>
    <w:rsid w:val="00287EBF"/>
    <w:rsid w:val="002A394F"/>
    <w:rsid w:val="003D58CA"/>
    <w:rsid w:val="00560BE6"/>
    <w:rsid w:val="0067113A"/>
    <w:rsid w:val="00717885"/>
    <w:rsid w:val="00A901B5"/>
    <w:rsid w:val="00BD0F2D"/>
    <w:rsid w:val="00CA012F"/>
    <w:rsid w:val="00D656B5"/>
    <w:rsid w:val="00E658E7"/>
    <w:rsid w:val="00EE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EA32E"/>
  <w15:chartTrackingRefBased/>
  <w15:docId w15:val="{8D9A373A-F1FC-A24A-81F3-D28D6CDD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012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38">
      <w:bodyDiv w:val="1"/>
      <w:marLeft w:val="0"/>
      <w:marRight w:val="0"/>
      <w:marTop w:val="0"/>
      <w:marBottom w:val="0"/>
      <w:divBdr>
        <w:top w:val="none" w:sz="0" w:space="0" w:color="auto"/>
        <w:left w:val="none" w:sz="0" w:space="0" w:color="auto"/>
        <w:bottom w:val="none" w:sz="0" w:space="0" w:color="auto"/>
        <w:right w:val="none" w:sz="0" w:space="0" w:color="auto"/>
      </w:divBdr>
      <w:divsChild>
        <w:div w:id="1798797467">
          <w:marLeft w:val="0"/>
          <w:marRight w:val="0"/>
          <w:marTop w:val="0"/>
          <w:marBottom w:val="0"/>
          <w:divBdr>
            <w:top w:val="none" w:sz="0" w:space="0" w:color="auto"/>
            <w:left w:val="none" w:sz="0" w:space="0" w:color="auto"/>
            <w:bottom w:val="none" w:sz="0" w:space="0" w:color="auto"/>
            <w:right w:val="none" w:sz="0" w:space="0" w:color="auto"/>
          </w:divBdr>
          <w:divsChild>
            <w:div w:id="133916575">
              <w:marLeft w:val="0"/>
              <w:marRight w:val="0"/>
              <w:marTop w:val="0"/>
              <w:marBottom w:val="0"/>
              <w:divBdr>
                <w:top w:val="none" w:sz="0" w:space="0" w:color="auto"/>
                <w:left w:val="none" w:sz="0" w:space="0" w:color="auto"/>
                <w:bottom w:val="none" w:sz="0" w:space="0" w:color="auto"/>
                <w:right w:val="none" w:sz="0" w:space="0" w:color="auto"/>
              </w:divBdr>
              <w:divsChild>
                <w:div w:id="1063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18983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7</cp:revision>
  <dcterms:created xsi:type="dcterms:W3CDTF">2022-08-08T16:46:00Z</dcterms:created>
  <dcterms:modified xsi:type="dcterms:W3CDTF">2022-08-19T21:15:00Z</dcterms:modified>
</cp:coreProperties>
</file>