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93389" w14:textId="77777777" w:rsidR="00771186" w:rsidRPr="00947219" w:rsidRDefault="00771186" w:rsidP="00771186">
      <w:pPr>
        <w:spacing w:line="480" w:lineRule="auto"/>
        <w:rPr>
          <w:szCs w:val="24"/>
        </w:rPr>
      </w:pPr>
      <w:r w:rsidRPr="00947219">
        <w:rPr>
          <w:b/>
          <w:bCs/>
          <w:szCs w:val="24"/>
        </w:rPr>
        <w:t xml:space="preserve">Plasmid design and construction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5"/>
        <w:gridCol w:w="1752"/>
        <w:gridCol w:w="1074"/>
        <w:gridCol w:w="996"/>
        <w:gridCol w:w="3319"/>
        <w:gridCol w:w="744"/>
      </w:tblGrid>
      <w:tr w:rsidR="00771186" w:rsidRPr="001B32B4" w14:paraId="294EFC77" w14:textId="77777777" w:rsidTr="0041230C">
        <w:trPr>
          <w:trHeight w:val="320"/>
        </w:trPr>
        <w:tc>
          <w:tcPr>
            <w:tcW w:w="474" w:type="pct"/>
            <w:noWrap/>
            <w:hideMark/>
          </w:tcPr>
          <w:p w14:paraId="138B04C9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Plasmid Name</w:t>
            </w:r>
          </w:p>
        </w:tc>
        <w:tc>
          <w:tcPr>
            <w:tcW w:w="1515" w:type="pct"/>
            <w:noWrap/>
            <w:hideMark/>
          </w:tcPr>
          <w:p w14:paraId="574349CB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Descriptive Name</w:t>
            </w:r>
          </w:p>
        </w:tc>
        <w:tc>
          <w:tcPr>
            <w:tcW w:w="343" w:type="pct"/>
            <w:noWrap/>
            <w:hideMark/>
          </w:tcPr>
          <w:p w14:paraId="4B72C21E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Backbone</w:t>
            </w:r>
          </w:p>
        </w:tc>
        <w:tc>
          <w:tcPr>
            <w:tcW w:w="461" w:type="pct"/>
            <w:noWrap/>
            <w:hideMark/>
          </w:tcPr>
          <w:p w14:paraId="0C8DDCC8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Enzymes</w:t>
            </w:r>
          </w:p>
        </w:tc>
        <w:tc>
          <w:tcPr>
            <w:tcW w:w="1708" w:type="pct"/>
            <w:noWrap/>
            <w:hideMark/>
          </w:tcPr>
          <w:p w14:paraId="395B9D01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Insert construction/PCR description</w:t>
            </w:r>
          </w:p>
        </w:tc>
        <w:tc>
          <w:tcPr>
            <w:tcW w:w="499" w:type="pct"/>
            <w:noWrap/>
            <w:hideMark/>
          </w:tcPr>
          <w:p w14:paraId="0AA2F99F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5' UTR</w:t>
            </w:r>
          </w:p>
        </w:tc>
      </w:tr>
      <w:tr w:rsidR="00771186" w:rsidRPr="001B32B4" w14:paraId="61F0B82D" w14:textId="77777777" w:rsidTr="0041230C">
        <w:trPr>
          <w:trHeight w:val="320"/>
        </w:trPr>
        <w:tc>
          <w:tcPr>
            <w:tcW w:w="474" w:type="pct"/>
            <w:noWrap/>
            <w:hideMark/>
          </w:tcPr>
          <w:p w14:paraId="56382171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pKR144</w:t>
            </w:r>
          </w:p>
        </w:tc>
        <w:tc>
          <w:tcPr>
            <w:tcW w:w="1515" w:type="pct"/>
            <w:noWrap/>
            <w:hideMark/>
          </w:tcPr>
          <w:p w14:paraId="4267DF71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T7_</w:t>
            </w:r>
            <w:r w:rsidRPr="001B32B4"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  <w:t>pdpA</w:t>
            </w: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UTR-nLuc</w:t>
            </w:r>
          </w:p>
        </w:tc>
        <w:tc>
          <w:tcPr>
            <w:tcW w:w="343" w:type="pct"/>
            <w:noWrap/>
            <w:hideMark/>
          </w:tcPr>
          <w:p w14:paraId="25F3C167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pKR81</w:t>
            </w:r>
          </w:p>
        </w:tc>
        <w:tc>
          <w:tcPr>
            <w:tcW w:w="461" w:type="pct"/>
            <w:noWrap/>
            <w:hideMark/>
          </w:tcPr>
          <w:p w14:paraId="134F4D9C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SalI</w:t>
            </w:r>
            <w:proofErr w:type="spellEnd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/</w:t>
            </w: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PvuII</w:t>
            </w:r>
            <w:proofErr w:type="spellEnd"/>
          </w:p>
        </w:tc>
        <w:tc>
          <w:tcPr>
            <w:tcW w:w="1708" w:type="pct"/>
            <w:noWrap/>
            <w:hideMark/>
          </w:tcPr>
          <w:p w14:paraId="64610E32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 xml:space="preserve">Describe insert from </w:t>
            </w: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gBlock</w:t>
            </w:r>
            <w:proofErr w:type="spellEnd"/>
          </w:p>
        </w:tc>
        <w:tc>
          <w:tcPr>
            <w:tcW w:w="499" w:type="pct"/>
            <w:noWrap/>
            <w:hideMark/>
          </w:tcPr>
          <w:p w14:paraId="7A6A7AAA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</w:pPr>
            <w:proofErr w:type="spellStart"/>
            <w:r w:rsidRPr="001B32B4"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  <w:t>pdpA</w:t>
            </w:r>
            <w:proofErr w:type="spellEnd"/>
          </w:p>
        </w:tc>
      </w:tr>
      <w:tr w:rsidR="00771186" w:rsidRPr="001B32B4" w14:paraId="258C3F0B" w14:textId="77777777" w:rsidTr="0041230C">
        <w:trPr>
          <w:trHeight w:val="320"/>
        </w:trPr>
        <w:tc>
          <w:tcPr>
            <w:tcW w:w="474" w:type="pct"/>
            <w:noWrap/>
            <w:hideMark/>
          </w:tcPr>
          <w:p w14:paraId="6AD69041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b/>
                <w:bCs/>
                <w:color w:val="000000"/>
                <w:szCs w:val="24"/>
                <w:lang w:eastAsia="en-US"/>
              </w:rPr>
              <w:t>pKR214</w:t>
            </w:r>
          </w:p>
        </w:tc>
        <w:tc>
          <w:tcPr>
            <w:tcW w:w="1515" w:type="pct"/>
            <w:noWrap/>
            <w:hideMark/>
          </w:tcPr>
          <w:p w14:paraId="4468FBC2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T7_</w:t>
            </w:r>
            <w:r w:rsidRPr="001B32B4"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  <w:t>tul4</w:t>
            </w: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UTR-nLuc</w:t>
            </w:r>
          </w:p>
        </w:tc>
        <w:tc>
          <w:tcPr>
            <w:tcW w:w="343" w:type="pct"/>
            <w:noWrap/>
            <w:hideMark/>
          </w:tcPr>
          <w:p w14:paraId="0A8F1BC5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pKR208</w:t>
            </w:r>
          </w:p>
        </w:tc>
        <w:tc>
          <w:tcPr>
            <w:tcW w:w="461" w:type="pct"/>
            <w:noWrap/>
            <w:hideMark/>
          </w:tcPr>
          <w:p w14:paraId="2F290353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SalI</w:t>
            </w:r>
            <w:proofErr w:type="spellEnd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/</w:t>
            </w: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XhoI</w:t>
            </w:r>
            <w:proofErr w:type="spellEnd"/>
          </w:p>
        </w:tc>
        <w:tc>
          <w:tcPr>
            <w:tcW w:w="1708" w:type="pct"/>
            <w:noWrap/>
            <w:hideMark/>
          </w:tcPr>
          <w:p w14:paraId="537147D1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 xml:space="preserve">Deletion of </w:t>
            </w:r>
            <w:proofErr w:type="spellStart"/>
            <w:r w:rsidRPr="001B32B4">
              <w:rPr>
                <w:rFonts w:ascii="Aptos Narrow" w:hAnsi="Aptos Narrow"/>
                <w:color w:val="000000"/>
                <w:szCs w:val="24"/>
                <w:lang w:eastAsia="en-US"/>
              </w:rPr>
              <w:t>pdpA-LanYFP</w:t>
            </w:r>
            <w:proofErr w:type="spellEnd"/>
          </w:p>
        </w:tc>
        <w:tc>
          <w:tcPr>
            <w:tcW w:w="499" w:type="pct"/>
            <w:noWrap/>
            <w:hideMark/>
          </w:tcPr>
          <w:p w14:paraId="3BDCED66" w14:textId="77777777" w:rsidR="00771186" w:rsidRPr="001B32B4" w:rsidRDefault="00771186" w:rsidP="0041230C">
            <w:pPr>
              <w:suppressAutoHyphens w:val="0"/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</w:pPr>
            <w:r w:rsidRPr="001B32B4">
              <w:rPr>
                <w:rFonts w:ascii="Aptos Narrow" w:hAnsi="Aptos Narrow"/>
                <w:i/>
                <w:iCs/>
                <w:color w:val="000000"/>
                <w:szCs w:val="24"/>
                <w:lang w:eastAsia="en-US"/>
              </w:rPr>
              <w:t>tul4</w:t>
            </w:r>
          </w:p>
        </w:tc>
      </w:tr>
    </w:tbl>
    <w:p w14:paraId="105B4C6F" w14:textId="77777777" w:rsidR="00771186" w:rsidRPr="00947219" w:rsidRDefault="00771186" w:rsidP="00771186">
      <w:pPr>
        <w:spacing w:line="480" w:lineRule="auto"/>
        <w:rPr>
          <w:szCs w:val="24"/>
        </w:rPr>
      </w:pPr>
      <w:r>
        <w:rPr>
          <w:szCs w:val="24"/>
        </w:rPr>
        <w:br/>
      </w:r>
      <w:r w:rsidRPr="00947219">
        <w:rPr>
          <w:szCs w:val="24"/>
        </w:rPr>
        <w:t xml:space="preserve">PCR primers were designed using </w:t>
      </w:r>
      <w:proofErr w:type="spellStart"/>
      <w:r w:rsidRPr="00947219">
        <w:rPr>
          <w:szCs w:val="24"/>
        </w:rPr>
        <w:t>SnapGene</w:t>
      </w:r>
      <w:proofErr w:type="spellEnd"/>
      <w:r w:rsidRPr="00947219">
        <w:rPr>
          <w:szCs w:val="24"/>
        </w:rPr>
        <w:t xml:space="preserve"> (GSL Biotech LLC) and ordered from </w:t>
      </w:r>
      <w:proofErr w:type="spellStart"/>
      <w:r w:rsidRPr="00947219">
        <w:rPr>
          <w:szCs w:val="24"/>
        </w:rPr>
        <w:t>ThermoFisher</w:t>
      </w:r>
      <w:proofErr w:type="spellEnd"/>
      <w:r w:rsidRPr="00947219">
        <w:rPr>
          <w:szCs w:val="24"/>
        </w:rPr>
        <w:t>. Primers were used to amplify DNA fragments to be cloned into the intended plasmid, and the resulting DNA fragments were purified by washing and eluting through a spin column (</w:t>
      </w:r>
      <w:proofErr w:type="spellStart"/>
      <w:r w:rsidRPr="00947219">
        <w:rPr>
          <w:szCs w:val="24"/>
        </w:rPr>
        <w:t>QIAquick</w:t>
      </w:r>
      <w:proofErr w:type="spellEnd"/>
      <w:r w:rsidRPr="00947219">
        <w:rPr>
          <w:szCs w:val="24"/>
        </w:rPr>
        <w:t xml:space="preserve"> Purification Kit). The plasmid backbone and PCR fragments were digested using restriction endonucleases and subjected to gel electrophoresis. Desired products were excised and purified using the </w:t>
      </w:r>
      <w:proofErr w:type="spellStart"/>
      <w:r w:rsidRPr="00947219">
        <w:rPr>
          <w:szCs w:val="24"/>
        </w:rPr>
        <w:t>QIAquick</w:t>
      </w:r>
      <w:proofErr w:type="spellEnd"/>
      <w:r w:rsidRPr="00947219">
        <w:rPr>
          <w:szCs w:val="24"/>
        </w:rPr>
        <w:t xml:space="preserve"> Gel Extraction Kit. Ligations were conducted with T4 DNA ligase and the products were transformed into competent </w:t>
      </w:r>
      <w:r w:rsidRPr="00947219">
        <w:rPr>
          <w:i/>
          <w:iCs/>
          <w:szCs w:val="24"/>
        </w:rPr>
        <w:t xml:space="preserve">E. coli </w:t>
      </w:r>
      <w:r w:rsidRPr="00947219">
        <w:rPr>
          <w:szCs w:val="24"/>
        </w:rPr>
        <w:t xml:space="preserve">cells. Resulting colonies were used to </w:t>
      </w:r>
    </w:p>
    <w:p w14:paraId="19900416" w14:textId="77777777" w:rsidR="00771186" w:rsidRPr="00947219" w:rsidRDefault="00771186" w:rsidP="00771186">
      <w:pPr>
        <w:spacing w:line="480" w:lineRule="auto"/>
        <w:rPr>
          <w:szCs w:val="24"/>
        </w:rPr>
      </w:pPr>
      <w:r w:rsidRPr="00947219">
        <w:rPr>
          <w:szCs w:val="24"/>
        </w:rPr>
        <w:t xml:space="preserve">grow cultures, and the plasmid DNA was isolated using a </w:t>
      </w:r>
      <w:proofErr w:type="spellStart"/>
      <w:r w:rsidRPr="00947219">
        <w:rPr>
          <w:szCs w:val="24"/>
        </w:rPr>
        <w:t>QIAprep</w:t>
      </w:r>
      <w:proofErr w:type="spellEnd"/>
      <w:r w:rsidRPr="00947219">
        <w:rPr>
          <w:szCs w:val="24"/>
        </w:rPr>
        <w:t xml:space="preserve"> Spin Miniprep Kit and sequenced via Sanger sequencing at URI’s INBRE CORE Facility. </w:t>
      </w:r>
    </w:p>
    <w:p w14:paraId="236E4E1A" w14:textId="77777777" w:rsidR="00771186" w:rsidRPr="00771186" w:rsidRDefault="00771186" w:rsidP="00771186">
      <w:r w:rsidRPr="00771186">
        <w:t xml:space="preserve">- Describe how plasmids were cloned in detail (using cloning history?), starting with original plasmid, noting modifications and enzymes used (as if you were inputting in </w:t>
      </w:r>
      <w:proofErr w:type="spellStart"/>
      <w:r w:rsidRPr="00771186">
        <w:t>SnapGene</w:t>
      </w:r>
      <w:proofErr w:type="spellEnd"/>
      <w:r w:rsidRPr="00771186">
        <w:t>).</w:t>
      </w:r>
    </w:p>
    <w:p w14:paraId="59B6F4D7" w14:textId="77777777" w:rsidR="00771186" w:rsidRPr="00771186" w:rsidRDefault="00771186" w:rsidP="00771186">
      <w:r w:rsidRPr="00771186">
        <w:t xml:space="preserve">- Describe fusion of T7 promoter, 5’ UTR, </w:t>
      </w:r>
      <w:proofErr w:type="spellStart"/>
      <w:r w:rsidRPr="00771186">
        <w:t>nLuc</w:t>
      </w:r>
      <w:proofErr w:type="spellEnd"/>
      <w:r w:rsidRPr="00771186">
        <w:t>, and any linkages used.</w:t>
      </w:r>
    </w:p>
    <w:p w14:paraId="5ADBBB30" w14:textId="77777777" w:rsidR="00771186" w:rsidRPr="00771186" w:rsidRDefault="00771186" w:rsidP="00771186"/>
    <w:p w14:paraId="3AA90D89" w14:textId="77777777" w:rsidR="00771186" w:rsidRDefault="00771186" w:rsidP="00771186">
      <w:r w:rsidRPr="00771186">
        <w:t xml:space="preserve">For pKR144, the backbone pKR81 was used, and the enzymes </w:t>
      </w:r>
      <w:proofErr w:type="spellStart"/>
      <w:r w:rsidRPr="00771186">
        <w:t>SalI</w:t>
      </w:r>
      <w:proofErr w:type="spellEnd"/>
      <w:r w:rsidRPr="00771186">
        <w:t xml:space="preserve"> and </w:t>
      </w:r>
      <w:proofErr w:type="spellStart"/>
      <w:r w:rsidRPr="00771186">
        <w:t>PvuII</w:t>
      </w:r>
      <w:proofErr w:type="spellEnd"/>
      <w:r w:rsidRPr="00771186">
        <w:t xml:space="preserve"> were used to insert DNA from a </w:t>
      </w:r>
      <w:proofErr w:type="spellStart"/>
      <w:r w:rsidRPr="00771186">
        <w:t>gBlock</w:t>
      </w:r>
      <w:proofErr w:type="spellEnd"/>
      <w:r w:rsidRPr="00771186">
        <w:t xml:space="preserve"> (what DNA was this and what is a </w:t>
      </w:r>
      <w:proofErr w:type="spellStart"/>
      <w:r w:rsidRPr="00771186">
        <w:t>gBlock</w:t>
      </w:r>
      <w:proofErr w:type="spellEnd"/>
      <w:r w:rsidRPr="00771186">
        <w:t>?).</w:t>
      </w:r>
    </w:p>
    <w:p w14:paraId="575A9ECD" w14:textId="35FECDFC" w:rsidR="001A6802" w:rsidRDefault="001A6802" w:rsidP="001A6802">
      <w:pPr>
        <w:pStyle w:val="ListParagraph"/>
        <w:numPr>
          <w:ilvl w:val="0"/>
          <w:numId w:val="1"/>
        </w:numPr>
      </w:pPr>
      <w:r>
        <w:t xml:space="preserve">A fragment on the DHFR control template between two </w:t>
      </w:r>
      <w:proofErr w:type="spellStart"/>
      <w:r>
        <w:t>BmtI</w:t>
      </w:r>
      <w:proofErr w:type="spellEnd"/>
      <w:r>
        <w:t xml:space="preserve"> cut sites was replaced with a fragment of DNA from F. tularensis encoding FTL0421 with a T7 terminator and a T7 promoter and flanked by </w:t>
      </w:r>
      <w:proofErr w:type="spellStart"/>
      <w:r>
        <w:t>BmtI</w:t>
      </w:r>
      <w:proofErr w:type="spellEnd"/>
      <w:r>
        <w:t xml:space="preserve"> cut sites.</w:t>
      </w:r>
    </w:p>
    <w:p w14:paraId="72DBEC21" w14:textId="2EEDD00C" w:rsidR="001A6802" w:rsidRPr="00771186" w:rsidRDefault="001A6802" w:rsidP="001A6802">
      <w:pPr>
        <w:pStyle w:val="ListParagraph"/>
        <w:numPr>
          <w:ilvl w:val="0"/>
          <w:numId w:val="1"/>
        </w:numPr>
      </w:pPr>
      <w:r>
        <w:t xml:space="preserve">Bases 82-88 were replaced with the </w:t>
      </w:r>
      <w:proofErr w:type="spellStart"/>
      <w:r>
        <w:t>nLuc</w:t>
      </w:r>
      <w:proofErr w:type="spellEnd"/>
      <w:r>
        <w:t xml:space="preserve"> sequence.</w:t>
      </w:r>
    </w:p>
    <w:p w14:paraId="0279063B" w14:textId="77777777" w:rsidR="00771186" w:rsidRPr="00771186" w:rsidRDefault="00771186" w:rsidP="00771186"/>
    <w:p w14:paraId="167A20D1" w14:textId="77F0C784" w:rsidR="009C0FBD" w:rsidRDefault="00771186" w:rsidP="00771186">
      <w:r w:rsidRPr="00771186">
        <w:t xml:space="preserve">For pKR214, the backbone pKR208 was used, and the enzymes </w:t>
      </w:r>
      <w:proofErr w:type="spellStart"/>
      <w:r w:rsidRPr="00771186">
        <w:t>SalI</w:t>
      </w:r>
      <w:proofErr w:type="spellEnd"/>
      <w:r w:rsidRPr="00771186">
        <w:t xml:space="preserve"> and </w:t>
      </w:r>
      <w:proofErr w:type="spellStart"/>
      <w:r w:rsidRPr="00771186">
        <w:t>XhoI</w:t>
      </w:r>
      <w:proofErr w:type="spellEnd"/>
      <w:r w:rsidRPr="00771186">
        <w:t xml:space="preserve"> were used to delete the portion of the plasmid containing </w:t>
      </w:r>
      <w:proofErr w:type="spellStart"/>
      <w:r w:rsidRPr="00771186">
        <w:t>pdpA</w:t>
      </w:r>
      <w:proofErr w:type="spellEnd"/>
      <w:r w:rsidRPr="00771186">
        <w:t xml:space="preserve"> and </w:t>
      </w:r>
      <w:proofErr w:type="spellStart"/>
      <w:r w:rsidRPr="00771186">
        <w:t>LanYFP</w:t>
      </w:r>
      <w:proofErr w:type="spellEnd"/>
      <w:r w:rsidRPr="00771186">
        <w:t>.</w:t>
      </w:r>
    </w:p>
    <w:p w14:paraId="373095C1" w14:textId="4A93535B" w:rsidR="001A6802" w:rsidRDefault="00614818" w:rsidP="001A6802">
      <w:pPr>
        <w:pStyle w:val="ListParagraph"/>
        <w:numPr>
          <w:ilvl w:val="0"/>
          <w:numId w:val="1"/>
        </w:numPr>
      </w:pPr>
      <w:r>
        <w:t xml:space="preserve">Could have started with pKR144? No, that was </w:t>
      </w:r>
      <w:proofErr w:type="spellStart"/>
      <w:r>
        <w:t>pdpA</w:t>
      </w:r>
      <w:proofErr w:type="spellEnd"/>
      <w:r>
        <w:t xml:space="preserve"> UTR, not tul4.</w:t>
      </w:r>
    </w:p>
    <w:p w14:paraId="242BDD92" w14:textId="1825E8FD" w:rsidR="00614818" w:rsidRDefault="00614818" w:rsidP="001A6802">
      <w:pPr>
        <w:pStyle w:val="ListParagraph"/>
        <w:numPr>
          <w:ilvl w:val="0"/>
          <w:numId w:val="1"/>
        </w:numPr>
      </w:pPr>
      <w:r>
        <w:lastRenderedPageBreak/>
        <w:t xml:space="preserve">On pKR144, the region between cut sites </w:t>
      </w:r>
      <w:proofErr w:type="spellStart"/>
      <w:r>
        <w:t>HpaI</w:t>
      </w:r>
      <w:proofErr w:type="spellEnd"/>
      <w:r>
        <w:t xml:space="preserve"> and </w:t>
      </w:r>
      <w:proofErr w:type="spellStart"/>
      <w:r>
        <w:t>NcoI</w:t>
      </w:r>
      <w:proofErr w:type="spellEnd"/>
      <w:r>
        <w:t xml:space="preserve"> was replaced with two PCR products. The first PCR product coded for </w:t>
      </w:r>
      <w:proofErr w:type="spellStart"/>
      <w:r>
        <w:t>nLuc</w:t>
      </w:r>
      <w:proofErr w:type="spellEnd"/>
      <w:r>
        <w:t xml:space="preserve"> fused to the </w:t>
      </w:r>
      <w:proofErr w:type="spellStart"/>
      <w:r>
        <w:t>pdpA</w:t>
      </w:r>
      <w:proofErr w:type="spellEnd"/>
      <w:r>
        <w:t xml:space="preserve"> UTR and the tul4 UTR and was flanked by </w:t>
      </w:r>
      <w:proofErr w:type="spellStart"/>
      <w:r>
        <w:t>HpaI</w:t>
      </w:r>
      <w:proofErr w:type="spellEnd"/>
      <w:r>
        <w:t xml:space="preserve"> and </w:t>
      </w:r>
      <w:proofErr w:type="spellStart"/>
      <w:r>
        <w:t>NotI</w:t>
      </w:r>
      <w:proofErr w:type="spellEnd"/>
      <w:r>
        <w:t xml:space="preserve">. The second PCR product was </w:t>
      </w:r>
      <w:proofErr w:type="spellStart"/>
      <w:r>
        <w:t>LanYFP</w:t>
      </w:r>
      <w:proofErr w:type="spellEnd"/>
      <w:r>
        <w:t xml:space="preserve"> and was flanked by </w:t>
      </w:r>
      <w:proofErr w:type="spellStart"/>
      <w:r>
        <w:t>NotI</w:t>
      </w:r>
      <w:proofErr w:type="spellEnd"/>
      <w:r>
        <w:t xml:space="preserve"> and </w:t>
      </w:r>
      <w:proofErr w:type="spellStart"/>
      <w:r>
        <w:t>NcoI</w:t>
      </w:r>
      <w:proofErr w:type="spellEnd"/>
      <w:r>
        <w:t>.</w:t>
      </w:r>
    </w:p>
    <w:p w14:paraId="0A0016D4" w14:textId="3194663A" w:rsidR="00614818" w:rsidRDefault="00614818" w:rsidP="001A6802">
      <w:pPr>
        <w:pStyle w:val="ListParagraph"/>
        <w:numPr>
          <w:ilvl w:val="0"/>
          <w:numId w:val="1"/>
        </w:numPr>
      </w:pPr>
      <w:r>
        <w:t xml:space="preserve">The resulting plasmid, pKR189, was further modified to contain </w:t>
      </w:r>
      <w:proofErr w:type="spellStart"/>
      <w:r>
        <w:t>NotI</w:t>
      </w:r>
      <w:proofErr w:type="spellEnd"/>
      <w:r>
        <w:t xml:space="preserve"> cut sites flanking the region containing the </w:t>
      </w:r>
      <w:proofErr w:type="spellStart"/>
      <w:r>
        <w:t>pdpA</w:t>
      </w:r>
      <w:proofErr w:type="spellEnd"/>
      <w:r>
        <w:t xml:space="preserve"> and tul4 UTRs.</w:t>
      </w:r>
    </w:p>
    <w:p w14:paraId="37576219" w14:textId="58D084CB" w:rsidR="00614818" w:rsidRDefault="00614818" w:rsidP="001A6802">
      <w:pPr>
        <w:pStyle w:val="ListParagraph"/>
        <w:numPr>
          <w:ilvl w:val="0"/>
          <w:numId w:val="1"/>
        </w:numPr>
      </w:pPr>
      <w:r>
        <w:t xml:space="preserve">The resulting plasmid, pKR204, was modified by cutting out the fragment between the two </w:t>
      </w:r>
      <w:proofErr w:type="spellStart"/>
      <w:r>
        <w:t>NotI</w:t>
      </w:r>
      <w:proofErr w:type="spellEnd"/>
      <w:r>
        <w:t xml:space="preserve"> cut sites and replacing it with a fragment in a flipped orientation, so that </w:t>
      </w:r>
      <w:proofErr w:type="spellStart"/>
      <w:r>
        <w:t>pdpA</w:t>
      </w:r>
      <w:proofErr w:type="spellEnd"/>
      <w:r>
        <w:t xml:space="preserve"> was fused to </w:t>
      </w:r>
      <w:proofErr w:type="spellStart"/>
      <w:r>
        <w:t>LanYFP</w:t>
      </w:r>
      <w:proofErr w:type="spellEnd"/>
      <w:r>
        <w:t xml:space="preserve"> and tul4 was fused to </w:t>
      </w:r>
      <w:proofErr w:type="spellStart"/>
      <w:r>
        <w:t>nLuc</w:t>
      </w:r>
      <w:proofErr w:type="spellEnd"/>
      <w:r>
        <w:t>.</w:t>
      </w:r>
    </w:p>
    <w:p w14:paraId="125B7D9A" w14:textId="6A47971E" w:rsidR="00614818" w:rsidRDefault="00614818" w:rsidP="001A6802">
      <w:pPr>
        <w:pStyle w:val="ListParagraph"/>
        <w:numPr>
          <w:ilvl w:val="0"/>
          <w:numId w:val="1"/>
        </w:numPr>
      </w:pPr>
      <w:r>
        <w:t xml:space="preserve">The resulting plasmid, pKR208, was further modified to form the final plasmid, pKR214, by cutting out the fragment between the </w:t>
      </w:r>
      <w:proofErr w:type="spellStart"/>
      <w:r>
        <w:t>SalI</w:t>
      </w:r>
      <w:proofErr w:type="spellEnd"/>
      <w:r>
        <w:t xml:space="preserve"> and </w:t>
      </w:r>
      <w:proofErr w:type="spellStart"/>
      <w:r>
        <w:t>XhoI</w:t>
      </w:r>
      <w:proofErr w:type="spellEnd"/>
      <w:r>
        <w:t xml:space="preserve"> cut sites, deleting the </w:t>
      </w:r>
      <w:proofErr w:type="spellStart"/>
      <w:r>
        <w:t>pdpA</w:t>
      </w:r>
      <w:proofErr w:type="spellEnd"/>
      <w:r>
        <w:t xml:space="preserve"> UTR-</w:t>
      </w:r>
      <w:proofErr w:type="spellStart"/>
      <w:r>
        <w:t>LanYFP</w:t>
      </w:r>
      <w:proofErr w:type="spellEnd"/>
      <w:r>
        <w:t xml:space="preserve"> fusion and leaving only tul4 fused to </w:t>
      </w:r>
      <w:proofErr w:type="spellStart"/>
      <w:r>
        <w:t>nLuc</w:t>
      </w:r>
      <w:proofErr w:type="spellEnd"/>
      <w:r>
        <w:t>.</w:t>
      </w:r>
    </w:p>
    <w:p w14:paraId="43D4CCFA" w14:textId="77777777" w:rsidR="00F105AE" w:rsidRDefault="00F105AE" w:rsidP="00F105AE"/>
    <w:p w14:paraId="5CDC4331" w14:textId="6FBA80DD" w:rsidR="00F105AE" w:rsidRDefault="00F105AE" w:rsidP="00F105AE">
      <w:r>
        <w:t>From Sierra:</w:t>
      </w:r>
    </w:p>
    <w:p w14:paraId="37CCA614" w14:textId="77777777" w:rsidR="00F105AE" w:rsidRPr="00F105AE" w:rsidRDefault="00F105AE" w:rsidP="00F105AE">
      <w:pPr>
        <w:rPr>
          <w:i/>
          <w:iCs/>
        </w:rPr>
      </w:pPr>
      <w:r w:rsidRPr="00F105AE">
        <w:rPr>
          <w:i/>
          <w:iCs/>
        </w:rPr>
        <w:t>Integration of reporter constructs into the Tn7 site of F. tularensis</w:t>
      </w:r>
    </w:p>
    <w:p w14:paraId="410C15B9" w14:textId="77777777" w:rsidR="00F105AE" w:rsidRPr="00F105AE" w:rsidRDefault="00F105AE" w:rsidP="00F105AE">
      <w:r w:rsidRPr="00F105AE">
        <w:t xml:space="preserve">Reporter constructs were integrated into the Tn7 site of </w:t>
      </w:r>
      <w:r w:rsidRPr="00F105AE">
        <w:rPr>
          <w:i/>
          <w:iCs/>
        </w:rPr>
        <w:t>F. tularensis</w:t>
      </w:r>
      <w:r w:rsidRPr="00F105AE">
        <w:t xml:space="preserve"> LVS</w:t>
      </w:r>
    </w:p>
    <w:p w14:paraId="07AA267D" w14:textId="77777777" w:rsidR="00F105AE" w:rsidRPr="00F105AE" w:rsidRDefault="00F105AE" w:rsidP="00F105AE">
      <w:r w:rsidRPr="00F105AE">
        <w:t>as previously described (</w:t>
      </w:r>
      <w:proofErr w:type="spellStart"/>
      <w:r w:rsidRPr="00F105AE">
        <w:t>LoVullo</w:t>
      </w:r>
      <w:proofErr w:type="spellEnd"/>
      <w:r w:rsidRPr="00F105AE">
        <w:t xml:space="preserve"> et al., 2009). Briefly, LVS cells were made</w:t>
      </w:r>
    </w:p>
    <w:p w14:paraId="25933971" w14:textId="77777777" w:rsidR="00F105AE" w:rsidRPr="00F105AE" w:rsidRDefault="00F105AE" w:rsidP="00F105AE">
      <w:r w:rsidRPr="00F105AE">
        <w:t>electrocompetent by washing with 10% sucrose. The Tn7 helper plasmid</w:t>
      </w:r>
    </w:p>
    <w:p w14:paraId="1C0F6817" w14:textId="77777777" w:rsidR="00F105AE" w:rsidRPr="00F105AE" w:rsidRDefault="00F105AE" w:rsidP="00F105AE">
      <w:r w:rsidRPr="00F105AE">
        <w:t>pMP720 was electroporated into electrocompetent cells with or without bS21-2,</w:t>
      </w:r>
    </w:p>
    <w:p w14:paraId="1618EB23" w14:textId="77777777" w:rsidR="00F105AE" w:rsidRPr="00F105AE" w:rsidRDefault="00F105AE" w:rsidP="00F105AE">
      <w:r w:rsidRPr="00F105AE">
        <w:t>and plasmid-containing cells were selected on hygromycin B-containing media.</w:t>
      </w:r>
    </w:p>
    <w:p w14:paraId="55015AB5" w14:textId="77777777" w:rsidR="00F105AE" w:rsidRPr="00F105AE" w:rsidRDefault="00F105AE" w:rsidP="00F105AE">
      <w:r w:rsidRPr="00F105AE">
        <w:t>Cells harboring the helper plasmid were electroporated with the appropriate</w:t>
      </w:r>
    </w:p>
    <w:p w14:paraId="3001A60D" w14:textId="77777777" w:rsidR="00F105AE" w:rsidRPr="00F105AE" w:rsidRDefault="00F105AE" w:rsidP="00F105AE">
      <w:r w:rsidRPr="00F105AE">
        <w:t>mini-Tn7 plasmid and selected for on CHA-H plates with kanamycin. PCR was</w:t>
      </w:r>
    </w:p>
    <w:p w14:paraId="4A4C0176" w14:textId="77777777" w:rsidR="00F105AE" w:rsidRPr="00F105AE" w:rsidRDefault="00F105AE" w:rsidP="00F105AE">
      <w:r w:rsidRPr="00F105AE">
        <w:t>used to screen kanamycin-resistant colonies for plasmid integration at the</w:t>
      </w:r>
    </w:p>
    <w:p w14:paraId="60E0E34F" w14:textId="77777777" w:rsidR="00F105AE" w:rsidRPr="00F105AE" w:rsidRDefault="00F105AE" w:rsidP="00F105AE">
      <w:r w:rsidRPr="00F105AE">
        <w:t>attTn7 site and candidates were confirmed by amplification and sequencing of</w:t>
      </w:r>
    </w:p>
    <w:p w14:paraId="2E7D2691" w14:textId="77777777" w:rsidR="00F105AE" w:rsidRDefault="00F105AE" w:rsidP="00F105AE">
      <w:r w:rsidRPr="00F105AE">
        <w:t>gDNA outside of the attTn7 site.</w:t>
      </w:r>
    </w:p>
    <w:p w14:paraId="03C3B0DB" w14:textId="77777777" w:rsidR="00F105AE" w:rsidRPr="00F105AE" w:rsidRDefault="00F105AE" w:rsidP="00F105AE"/>
    <w:p w14:paraId="123D4C7D" w14:textId="77777777" w:rsidR="00F105AE" w:rsidRPr="00F105AE" w:rsidRDefault="00F105AE" w:rsidP="00F105AE">
      <w:pPr>
        <w:rPr>
          <w:i/>
          <w:iCs/>
        </w:rPr>
      </w:pPr>
      <w:r w:rsidRPr="00F105AE">
        <w:rPr>
          <w:i/>
          <w:iCs/>
        </w:rPr>
        <w:t>Plasmids</w:t>
      </w:r>
    </w:p>
    <w:p w14:paraId="54AC19A5" w14:textId="77777777" w:rsidR="00F105AE" w:rsidRPr="00F105AE" w:rsidRDefault="00F105AE" w:rsidP="00F105AE">
      <w:pPr>
        <w:rPr>
          <w:i/>
          <w:iCs/>
        </w:rPr>
      </w:pPr>
      <w:commentRangeStart w:id="0"/>
      <w:commentRangeStart w:id="1"/>
      <w:r w:rsidRPr="00F105AE">
        <w:t xml:space="preserve">To generate plasmids in which the </w:t>
      </w:r>
      <w:r w:rsidRPr="00F105AE">
        <w:rPr>
          <w:i/>
          <w:iCs/>
        </w:rPr>
        <w:t>rpsU2</w:t>
      </w:r>
      <w:r w:rsidRPr="00F105AE">
        <w:t xml:space="preserve"> 5´ UTR is upstream of the </w:t>
      </w:r>
      <w:proofErr w:type="spellStart"/>
      <w:r w:rsidRPr="00F105AE">
        <w:rPr>
          <w:i/>
          <w:iCs/>
        </w:rPr>
        <w:t>gfp</w:t>
      </w:r>
      <w:proofErr w:type="spellEnd"/>
    </w:p>
    <w:p w14:paraId="6960BEA8" w14:textId="41FF39C7" w:rsidR="00F105AE" w:rsidRPr="00F105AE" w:rsidRDefault="00F105AE" w:rsidP="00F105AE">
      <w:r w:rsidRPr="00F105AE">
        <w:t xml:space="preserve">coding sequence, pKR123 (unpublished) was digested with </w:t>
      </w:r>
      <w:proofErr w:type="spellStart"/>
      <w:r w:rsidRPr="00F105AE">
        <w:t>KpnI</w:t>
      </w:r>
      <w:proofErr w:type="spellEnd"/>
      <w:r w:rsidRPr="00F105AE">
        <w:t>/</w:t>
      </w:r>
      <w:proofErr w:type="spellStart"/>
      <w:r w:rsidRPr="00F105AE">
        <w:t>NotI</w:t>
      </w:r>
      <w:proofErr w:type="spellEnd"/>
      <w:r w:rsidRPr="00F105AE">
        <w:t>, resulting</w:t>
      </w:r>
    </w:p>
    <w:p w14:paraId="3F7F2C91" w14:textId="77777777" w:rsidR="00F105AE" w:rsidRPr="00F105AE" w:rsidRDefault="00F105AE" w:rsidP="00F105AE">
      <w:r w:rsidRPr="00F105AE">
        <w:t xml:space="preserve">in a fragment containing the promoter of </w:t>
      </w:r>
      <w:r w:rsidRPr="00F105AE">
        <w:rPr>
          <w:i/>
          <w:iCs/>
        </w:rPr>
        <w:t xml:space="preserve">tul4 </w:t>
      </w:r>
      <w:r w:rsidRPr="00F105AE">
        <w:t xml:space="preserve">fused to the </w:t>
      </w:r>
      <w:r w:rsidRPr="00F105AE">
        <w:rPr>
          <w:i/>
          <w:iCs/>
        </w:rPr>
        <w:t>rpsU2</w:t>
      </w:r>
      <w:r w:rsidRPr="00F105AE">
        <w:t xml:space="preserve"> 5´ UTR. Another</w:t>
      </w:r>
    </w:p>
    <w:p w14:paraId="0CDD81FB" w14:textId="77777777" w:rsidR="00F105AE" w:rsidRPr="00F105AE" w:rsidRDefault="00F105AE" w:rsidP="00F105AE">
      <w:r w:rsidRPr="00F105AE">
        <w:t xml:space="preserve">plasmid, pKR183, containing the </w:t>
      </w:r>
      <w:proofErr w:type="spellStart"/>
      <w:r w:rsidRPr="00F105AE">
        <w:t>sfGFP</w:t>
      </w:r>
      <w:proofErr w:type="spellEnd"/>
      <w:r w:rsidRPr="00F105AE">
        <w:t xml:space="preserve"> gene codon-optimized for expression</w:t>
      </w:r>
    </w:p>
    <w:p w14:paraId="28D042B7" w14:textId="77777777" w:rsidR="00F105AE" w:rsidRPr="00F105AE" w:rsidRDefault="00F105AE" w:rsidP="00F105AE">
      <w:r w:rsidRPr="00F105AE">
        <w:t xml:space="preserve">in </w:t>
      </w:r>
      <w:r w:rsidRPr="00F105AE">
        <w:rPr>
          <w:i/>
          <w:iCs/>
        </w:rPr>
        <w:t>F. tularensis</w:t>
      </w:r>
      <w:r w:rsidRPr="00F105AE">
        <w:t xml:space="preserve"> LVS (</w:t>
      </w:r>
      <w:proofErr w:type="spellStart"/>
      <w:r w:rsidRPr="00F105AE">
        <w:t>Trautmann</w:t>
      </w:r>
      <w:proofErr w:type="spellEnd"/>
      <w:r w:rsidRPr="00F105AE">
        <w:t xml:space="preserve"> et al., 2023), was digested with </w:t>
      </w:r>
      <w:proofErr w:type="spellStart"/>
      <w:r w:rsidRPr="00F105AE">
        <w:t>KpnI</w:t>
      </w:r>
      <w:proofErr w:type="spellEnd"/>
      <w:r w:rsidRPr="00F105AE">
        <w:t>/</w:t>
      </w:r>
      <w:proofErr w:type="spellStart"/>
      <w:r w:rsidRPr="00F105AE">
        <w:t>BamHI</w:t>
      </w:r>
      <w:proofErr w:type="spellEnd"/>
      <w:r w:rsidRPr="00F105AE">
        <w:t>.</w:t>
      </w:r>
    </w:p>
    <w:p w14:paraId="589C39BA" w14:textId="77777777" w:rsidR="00F105AE" w:rsidRPr="00F105AE" w:rsidRDefault="00F105AE" w:rsidP="00F105AE">
      <w:r w:rsidRPr="00F105AE">
        <w:t>Further, pKR123 (unpublished), containing the mini-Tn7 plasmid backbone was</w:t>
      </w:r>
    </w:p>
    <w:p w14:paraId="7C5F66D7" w14:textId="77777777" w:rsidR="00F105AE" w:rsidRPr="00F105AE" w:rsidRDefault="00F105AE" w:rsidP="00F105AE">
      <w:r w:rsidRPr="00F105AE">
        <w:t xml:space="preserve">digested with </w:t>
      </w:r>
      <w:proofErr w:type="spellStart"/>
      <w:r w:rsidRPr="00F105AE">
        <w:t>NotI</w:t>
      </w:r>
      <w:proofErr w:type="spellEnd"/>
      <w:r w:rsidRPr="00F105AE">
        <w:t>/</w:t>
      </w:r>
      <w:proofErr w:type="spellStart"/>
      <w:r w:rsidRPr="00F105AE">
        <w:t>BamHI</w:t>
      </w:r>
      <w:proofErr w:type="spellEnd"/>
      <w:r w:rsidRPr="00F105AE">
        <w:t>, and all three of these fragments were ligated together</w:t>
      </w:r>
    </w:p>
    <w:p w14:paraId="72F930E0" w14:textId="77777777" w:rsidR="00F105AE" w:rsidRPr="00F105AE" w:rsidRDefault="00F105AE" w:rsidP="00F105AE">
      <w:r w:rsidRPr="00F105AE">
        <w:t>forming the in-frame GFP reporter plasmid, pKR184 Tn7 P</w:t>
      </w:r>
      <w:r w:rsidRPr="00F105AE">
        <w:rPr>
          <w:i/>
          <w:iCs/>
        </w:rPr>
        <w:t>tul4</w:t>
      </w:r>
      <w:r w:rsidRPr="00F105AE">
        <w:t>-</w:t>
      </w:r>
      <w:r w:rsidRPr="00F105AE">
        <w:rPr>
          <w:i/>
          <w:iCs/>
        </w:rPr>
        <w:t xml:space="preserve">rpsU2 </w:t>
      </w:r>
      <w:r w:rsidRPr="00F105AE">
        <w:t>5´ UTR-</w:t>
      </w:r>
    </w:p>
    <w:p w14:paraId="5CD4FB6F" w14:textId="77777777" w:rsidR="00F105AE" w:rsidRDefault="00F105AE" w:rsidP="00F105AE">
      <w:r w:rsidRPr="00F105AE">
        <w:t>GFP.</w:t>
      </w:r>
      <w:commentRangeEnd w:id="0"/>
      <w:r>
        <w:rPr>
          <w:rStyle w:val="CommentReference"/>
        </w:rPr>
        <w:commentReference w:id="0"/>
      </w:r>
      <w:commentRangeEnd w:id="1"/>
      <w:r w:rsidR="00690B3F">
        <w:rPr>
          <w:rStyle w:val="CommentReference"/>
        </w:rPr>
        <w:commentReference w:id="1"/>
      </w:r>
    </w:p>
    <w:p w14:paraId="7C40910A" w14:textId="77777777" w:rsidR="00F105AE" w:rsidRPr="00F105AE" w:rsidRDefault="00F105AE" w:rsidP="00F105AE"/>
    <w:p w14:paraId="71BEA71D" w14:textId="76E54497" w:rsidR="00F105AE" w:rsidRPr="00F105AE" w:rsidRDefault="00F105AE" w:rsidP="00F105AE">
      <w:pPr>
        <w:rPr>
          <w:i/>
          <w:iCs/>
        </w:rPr>
      </w:pPr>
      <w:r w:rsidRPr="00F105AE">
        <w:t xml:space="preserve">To create a plasmid in which the </w:t>
      </w:r>
      <w:proofErr w:type="spellStart"/>
      <w:r w:rsidRPr="00F105AE">
        <w:t>Δloops</w:t>
      </w:r>
      <w:proofErr w:type="spellEnd"/>
      <w:r w:rsidRPr="00F105AE">
        <w:t xml:space="preserve"> 5´ UTR is upstream of the </w:t>
      </w:r>
      <w:r w:rsidRPr="00F105AE">
        <w:rPr>
          <w:i/>
          <w:iCs/>
        </w:rPr>
        <w:t>gfp</w:t>
      </w:r>
    </w:p>
    <w:p w14:paraId="3A1E02EA" w14:textId="77777777" w:rsidR="00F105AE" w:rsidRPr="00F105AE" w:rsidRDefault="00F105AE" w:rsidP="00F105AE">
      <w:r w:rsidRPr="00F105AE">
        <w:t>coding sequence, primers were used to amplify from pKR184, deleting the stem</w:t>
      </w:r>
    </w:p>
    <w:p w14:paraId="2C629CC2" w14:textId="77777777" w:rsidR="00F105AE" w:rsidRPr="00F105AE" w:rsidRDefault="00F105AE" w:rsidP="00F105AE">
      <w:r w:rsidRPr="00F105AE">
        <w:t xml:space="preserve">loop structures in the first 38 </w:t>
      </w:r>
      <w:proofErr w:type="spellStart"/>
      <w:r w:rsidRPr="00F105AE">
        <w:t>nt</w:t>
      </w:r>
      <w:proofErr w:type="spellEnd"/>
      <w:r w:rsidRPr="00F105AE">
        <w:t xml:space="preserve"> of the </w:t>
      </w:r>
      <w:r w:rsidRPr="00F105AE">
        <w:rPr>
          <w:i/>
          <w:iCs/>
        </w:rPr>
        <w:t xml:space="preserve">rpsU2 </w:t>
      </w:r>
      <w:r w:rsidRPr="00F105AE">
        <w:t>5´ UTR. The first primer contained</w:t>
      </w:r>
    </w:p>
    <w:p w14:paraId="5E247878" w14:textId="77777777" w:rsidR="00F105AE" w:rsidRPr="00F105AE" w:rsidRDefault="00F105AE" w:rsidP="00F105AE">
      <w:r w:rsidRPr="00F105AE">
        <w:t xml:space="preserve">a </w:t>
      </w:r>
      <w:proofErr w:type="spellStart"/>
      <w:r w:rsidRPr="00F105AE">
        <w:t>PacI</w:t>
      </w:r>
      <w:proofErr w:type="spellEnd"/>
      <w:r w:rsidRPr="00F105AE">
        <w:t xml:space="preserve"> site with the last 22 </w:t>
      </w:r>
      <w:proofErr w:type="spellStart"/>
      <w:r w:rsidRPr="00F105AE">
        <w:t>nt</w:t>
      </w:r>
      <w:proofErr w:type="spellEnd"/>
      <w:r w:rsidRPr="00F105AE">
        <w:t xml:space="preserve"> of the promoter of </w:t>
      </w:r>
      <w:r w:rsidRPr="00F105AE">
        <w:rPr>
          <w:i/>
          <w:iCs/>
        </w:rPr>
        <w:t xml:space="preserve">tul4 </w:t>
      </w:r>
      <w:r w:rsidRPr="00F105AE">
        <w:t xml:space="preserve">on the 5´-end fused </w:t>
      </w:r>
      <w:proofErr w:type="gramStart"/>
      <w:r w:rsidRPr="00F105AE">
        <w:t>to</w:t>
      </w:r>
      <w:proofErr w:type="gramEnd"/>
      <w:r w:rsidRPr="00F105AE">
        <w:t xml:space="preserve"> the</w:t>
      </w:r>
    </w:p>
    <w:p w14:paraId="382E8410" w14:textId="77777777" w:rsidR="00F105AE" w:rsidRPr="00F105AE" w:rsidRDefault="00F105AE" w:rsidP="00F105AE">
      <w:r w:rsidRPr="00F105AE">
        <w:t xml:space="preserve">32 </w:t>
      </w:r>
      <w:proofErr w:type="spellStart"/>
      <w:r w:rsidRPr="00F105AE">
        <w:t>nt</w:t>
      </w:r>
      <w:proofErr w:type="spellEnd"/>
      <w:r w:rsidRPr="00F105AE">
        <w:t xml:space="preserve">, directly after the first 38 </w:t>
      </w:r>
      <w:proofErr w:type="spellStart"/>
      <w:r w:rsidRPr="00F105AE">
        <w:t>nt</w:t>
      </w:r>
      <w:proofErr w:type="spellEnd"/>
      <w:r w:rsidRPr="00F105AE">
        <w:t xml:space="preserve"> of the </w:t>
      </w:r>
      <w:r w:rsidRPr="00F105AE">
        <w:rPr>
          <w:i/>
          <w:iCs/>
        </w:rPr>
        <w:t xml:space="preserve">rpsU2 </w:t>
      </w:r>
      <w:r w:rsidRPr="00F105AE">
        <w:t>5´ UTR which are not encoded on</w:t>
      </w:r>
    </w:p>
    <w:p w14:paraId="6B8D25F0" w14:textId="77777777" w:rsidR="00F105AE" w:rsidRPr="00F105AE" w:rsidRDefault="00F105AE" w:rsidP="00F105AE">
      <w:pPr>
        <w:rPr>
          <w:i/>
          <w:iCs/>
        </w:rPr>
      </w:pPr>
      <w:r w:rsidRPr="00F105AE">
        <w:t xml:space="preserve">the primer. The reverse primer located 152 bp upstream of the 3´ </w:t>
      </w:r>
      <w:proofErr w:type="gramStart"/>
      <w:r w:rsidRPr="00F105AE">
        <w:t>end</w:t>
      </w:r>
      <w:proofErr w:type="gramEnd"/>
      <w:r w:rsidRPr="00F105AE">
        <w:t xml:space="preserve"> of the </w:t>
      </w:r>
      <w:proofErr w:type="spellStart"/>
      <w:r w:rsidRPr="00F105AE">
        <w:rPr>
          <w:i/>
          <w:iCs/>
        </w:rPr>
        <w:t>gfp</w:t>
      </w:r>
      <w:proofErr w:type="spellEnd"/>
    </w:p>
    <w:p w14:paraId="20F55702" w14:textId="77777777" w:rsidR="00F105AE" w:rsidRPr="00F105AE" w:rsidRDefault="00F105AE" w:rsidP="00F105AE">
      <w:r w:rsidRPr="00F105AE">
        <w:t xml:space="preserve">gene contained the </w:t>
      </w:r>
      <w:proofErr w:type="spellStart"/>
      <w:r w:rsidRPr="00F105AE">
        <w:t>MfeI</w:t>
      </w:r>
      <w:proofErr w:type="spellEnd"/>
      <w:r w:rsidRPr="00F105AE">
        <w:t xml:space="preserve"> cut site. The resultant fragment was ligated with</w:t>
      </w:r>
    </w:p>
    <w:p w14:paraId="7F17B413" w14:textId="77777777" w:rsidR="00F105AE" w:rsidRPr="00F105AE" w:rsidRDefault="00F105AE" w:rsidP="00F105AE">
      <w:proofErr w:type="spellStart"/>
      <w:r w:rsidRPr="00F105AE">
        <w:t>PacI</w:t>
      </w:r>
      <w:proofErr w:type="spellEnd"/>
      <w:r w:rsidRPr="00F105AE">
        <w:t>/</w:t>
      </w:r>
      <w:proofErr w:type="spellStart"/>
      <w:r w:rsidRPr="00F105AE">
        <w:t>MfeI</w:t>
      </w:r>
      <w:proofErr w:type="spellEnd"/>
      <w:r w:rsidRPr="00F105AE">
        <w:t xml:space="preserve"> digested pKR184, effectively deleting the stem loop structures and</w:t>
      </w:r>
    </w:p>
    <w:p w14:paraId="3C90BB2D" w14:textId="4B6440A0" w:rsidR="00F105AE" w:rsidRDefault="00F105AE" w:rsidP="00F105AE">
      <w:r w:rsidRPr="00F105AE">
        <w:t>resulting in pKR191 Tn7 P</w:t>
      </w:r>
      <w:r w:rsidRPr="00F105AE">
        <w:rPr>
          <w:i/>
          <w:iCs/>
        </w:rPr>
        <w:t>tul4</w:t>
      </w:r>
      <w:r w:rsidRPr="00F105AE">
        <w:t>-</w:t>
      </w:r>
      <w:r w:rsidRPr="00F105AE">
        <w:rPr>
          <w:i/>
          <w:iCs/>
        </w:rPr>
        <w:t xml:space="preserve">rpsU2 </w:t>
      </w:r>
      <w:proofErr w:type="spellStart"/>
      <w:r w:rsidRPr="00F105AE">
        <w:t>Δloops</w:t>
      </w:r>
      <w:proofErr w:type="spellEnd"/>
      <w:r w:rsidRPr="00F105AE">
        <w:t xml:space="preserve"> 5´ UTR-GFP.</w:t>
      </w:r>
    </w:p>
    <w:sectPr w:rsidR="00F1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enjamin Moore" w:date="2024-09-09T17:34:00Z" w:initials="BM">
    <w:p w14:paraId="54091F33" w14:textId="1E366F6A" w:rsidR="00F105AE" w:rsidRDefault="00F105AE">
      <w:pPr>
        <w:pStyle w:val="CommentText"/>
      </w:pPr>
      <w:r>
        <w:rPr>
          <w:rStyle w:val="CommentReference"/>
        </w:rPr>
        <w:annotationRef/>
      </w:r>
      <w:r>
        <w:t xml:space="preserve">To generate plasmids in which the tul4 UTR is upstream of the </w:t>
      </w:r>
      <w:proofErr w:type="spellStart"/>
      <w:r w:rsidR="000F5E7E">
        <w:t>nLuc</w:t>
      </w:r>
      <w:proofErr w:type="spellEnd"/>
      <w:r w:rsidR="000F5E7E">
        <w:t xml:space="preserve"> coding sequence, pKR208 (unpublished) was digested with </w:t>
      </w:r>
      <w:proofErr w:type="spellStart"/>
      <w:r w:rsidR="000F5E7E">
        <w:t>SalI</w:t>
      </w:r>
      <w:proofErr w:type="spellEnd"/>
      <w:r w:rsidR="000F5E7E">
        <w:t>/</w:t>
      </w:r>
      <w:proofErr w:type="spellStart"/>
      <w:r w:rsidR="000F5E7E">
        <w:t>XhoI</w:t>
      </w:r>
      <w:proofErr w:type="spellEnd"/>
      <w:r w:rsidR="000F5E7E">
        <w:t xml:space="preserve">, resulting in a fragment containing the promoter of tul4 fused to the tul4 5’ UTR. Another plasmid, </w:t>
      </w:r>
      <w:proofErr w:type="spellStart"/>
      <w:r w:rsidR="000F5E7E">
        <w:t>pKR</w:t>
      </w:r>
      <w:proofErr w:type="spellEnd"/>
    </w:p>
  </w:comment>
  <w:comment w:id="1" w:author="Benjamin Moore" w:date="2024-09-09T17:49:00Z" w:initials="BM">
    <w:p w14:paraId="31BBDBD1" w14:textId="735C27F8" w:rsidR="00690B3F" w:rsidRDefault="00690B3F">
      <w:pPr>
        <w:pStyle w:val="CommentText"/>
      </w:pPr>
      <w:r>
        <w:rPr>
          <w:rStyle w:val="CommentReference"/>
        </w:rPr>
        <w:annotationRef/>
      </w:r>
      <w:r>
        <w:t>This describes a three-way ligation.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4091F33" w15:done="0"/>
  <w15:commentEx w15:paraId="31BBDB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5276AC" w16cex:dateUtc="2024-09-09T21:34:00Z"/>
  <w16cex:commentExtensible w16cex:durableId="398C5CC3" w16cex:dateUtc="2024-09-09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091F33" w16cid:durableId="065276AC"/>
  <w16cid:commentId w16cid:paraId="31BBDBD1" w16cid:durableId="398C5C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D7FD1"/>
    <w:multiLevelType w:val="hybridMultilevel"/>
    <w:tmpl w:val="EC88E5E6"/>
    <w:lvl w:ilvl="0" w:tplc="FC64529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08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jamin Moore">
    <w15:presenceInfo w15:providerId="AD" w15:userId="S::ben_moore@uri.edu::0acfed33-feb0-4b7d-baf5-42ae2147e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86"/>
    <w:rsid w:val="000F5E7E"/>
    <w:rsid w:val="001A6802"/>
    <w:rsid w:val="003B209C"/>
    <w:rsid w:val="00614818"/>
    <w:rsid w:val="00690B3F"/>
    <w:rsid w:val="007002CC"/>
    <w:rsid w:val="00771186"/>
    <w:rsid w:val="00805121"/>
    <w:rsid w:val="009C0FBD"/>
    <w:rsid w:val="00B125A1"/>
    <w:rsid w:val="00CA566E"/>
    <w:rsid w:val="00F105AE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5A56C"/>
  <w15:chartTrackingRefBased/>
  <w15:docId w15:val="{37E6C9E2-B075-E142-86A4-4EECE5A6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86"/>
    <w:pPr>
      <w:suppressAutoHyphens/>
    </w:pPr>
    <w:rPr>
      <w:rFonts w:ascii="Arial" w:eastAsia="Times New Roman" w:hAnsi="Arial" w:cs="Times New Roman"/>
      <w:kern w:val="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186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186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186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186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186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186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186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186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186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18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186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186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186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1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1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186"/>
    <w:pPr>
      <w:suppressAutoHyphens/>
    </w:pPr>
    <w:rPr>
      <w:rFonts w:ascii="Liberation Serif" w:eastAsia="NSimSun" w:hAnsi="Liberation Serif" w:cs="Lucida Sans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5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5AE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5AE"/>
    <w:rPr>
      <w:rFonts w:ascii="Arial" w:eastAsia="Times New Roman" w:hAnsi="Arial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2</cp:revision>
  <dcterms:created xsi:type="dcterms:W3CDTF">2024-09-09T20:47:00Z</dcterms:created>
  <dcterms:modified xsi:type="dcterms:W3CDTF">2024-09-09T22:00:00Z</dcterms:modified>
</cp:coreProperties>
</file>