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8751" w14:textId="76B1517E" w:rsidR="00EF414F" w:rsidRPr="00CB1FEA" w:rsidRDefault="00DA7600" w:rsidP="00DA7600">
      <w:pPr>
        <w:keepLines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B1FEA">
        <w:rPr>
          <w:rFonts w:ascii="Calibri" w:hAnsi="Calibri" w:cs="Calibri"/>
          <w:b/>
          <w:bCs/>
          <w:color w:val="000000"/>
          <w:sz w:val="22"/>
          <w:szCs w:val="22"/>
        </w:rPr>
        <w:t xml:space="preserve">ULSD </w:t>
      </w:r>
      <w:r w:rsidR="00EF414F" w:rsidRPr="00CB1FEA">
        <w:rPr>
          <w:rFonts w:ascii="Calibri" w:hAnsi="Calibri" w:cs="Calibri"/>
          <w:b/>
          <w:bCs/>
          <w:color w:val="000000"/>
          <w:sz w:val="22"/>
          <w:szCs w:val="22"/>
        </w:rPr>
        <w:t>Clinical/Translational Project</w:t>
      </w:r>
    </w:p>
    <w:p w14:paraId="1174E0E6" w14:textId="77777777" w:rsidR="00EF414F" w:rsidRPr="00CB1FEA" w:rsidRDefault="00EF414F" w:rsidP="00DA7600">
      <w:pPr>
        <w:keepLines/>
        <w:contextualSpacing/>
        <w:rPr>
          <w:rFonts w:ascii="Calibri" w:hAnsi="Calibri" w:cs="Calibri"/>
          <w:color w:val="000000"/>
          <w:sz w:val="22"/>
          <w:szCs w:val="22"/>
        </w:rPr>
      </w:pPr>
      <w:r w:rsidRPr="00CB1FEA">
        <w:rPr>
          <w:rFonts w:ascii="Calibri" w:hAnsi="Calibri" w:cs="Calibri"/>
          <w:color w:val="000000"/>
          <w:sz w:val="22"/>
          <w:szCs w:val="22"/>
        </w:rPr>
        <w:t>PIs: Lara C Monteiro and Matthew Ramsey</w:t>
      </w:r>
    </w:p>
    <w:p w14:paraId="1C4953C9" w14:textId="77777777" w:rsidR="00EF414F" w:rsidRPr="00CB1FEA" w:rsidRDefault="00EF414F" w:rsidP="00DA7600">
      <w:pPr>
        <w:keepLines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502D3C65" w14:textId="77777777" w:rsidR="00EF414F" w:rsidRPr="00CB1FEA" w:rsidRDefault="00EF414F" w:rsidP="00DA7600">
      <w:pPr>
        <w:keepLines/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</w:pP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What We Want to D</w:t>
      </w:r>
      <w:r w:rsidRPr="00CB1F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o</w:t>
      </w:r>
    </w:p>
    <w:p w14:paraId="479A15C7" w14:textId="7D2A5BCC" w:rsidR="007067A1" w:rsidRPr="00EF414F" w:rsidRDefault="00EF414F" w:rsidP="00DA7600">
      <w:pPr>
        <w:keepLines/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</w:pP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Endogenous dental erosion caused by gastric disorders</w:t>
      </w:r>
      <w:r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significantly affects the restorative materials. </w:t>
      </w:r>
      <w:r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Bulimia nervosa (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self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noBreakHyphen/>
        <w:t>induced vomiting</w:t>
      </w:r>
      <w:r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) leads to a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cid exposure, </w:t>
      </w:r>
      <w:r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that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combined with mechanical loading, has been identified as the most detrimental condition for dental 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wear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. However,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clinical r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esearch is limited due to 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patient’s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anonymity and privacy constraints, making </w:t>
      </w:r>
      <w:r w:rsidRPr="00EF414F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pt-BR"/>
        </w:rPr>
        <w:t>in vitro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simulation the primary method of investigation.</w:t>
      </w:r>
      <w:r w:rsidR="00035E84" w:rsidRPr="00CB1F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Our group has recently developed a prototype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gastric simulator, reproduc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ing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acidic flow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and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pressure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observed during vomiting episodes. Following our </w:t>
      </w:r>
      <w:r w:rsidR="00035E84"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promising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recent publication (Monteiro et al., 2025), new questions have emerged that must be addressed 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to guide the</w:t>
      </w:r>
      <w:r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designing 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of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a 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future new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device</w:t>
      </w:r>
      <w:r w:rsidR="00035E84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.</w:t>
      </w:r>
      <w:r w:rsidR="00035E84" w:rsidRPr="00CB1F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 xml:space="preserve">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This project aims to investigate </w:t>
      </w:r>
      <w:r w:rsidR="007067A1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3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questions using CAD/CAM restorative dental ceramics:</w:t>
      </w:r>
      <w:r w:rsidR="00035E84" w:rsidRPr="00CB1F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 xml:space="preserve"> </w:t>
      </w:r>
      <w:r w:rsidR="007067A1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1.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Whether the 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time interval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 between erosive aging and surface property testing influences outcomes in erosion studies</w:t>
      </w:r>
      <w:r w:rsidR="007067A1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. 2.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How the 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combined effect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 of endogenous erosion and simulated toothbrushing abrasion differs when comparing the 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immersive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 to the 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dynamic method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.</w:t>
      </w:r>
      <w:r w:rsidR="007067A1" w:rsidRPr="00CB1FEA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 xml:space="preserve"> 3. 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Whether the proposed dynamic method impacts </w:t>
      </w: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biofilm adhesion capacity</w:t>
      </w:r>
      <w:r w:rsidRPr="00EF414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 on restorative material surfaces.</w:t>
      </w:r>
    </w:p>
    <w:p w14:paraId="1B798D03" w14:textId="77777777" w:rsidR="00CE62BE" w:rsidRPr="00CB1FEA" w:rsidRDefault="00EF414F" w:rsidP="00DA7600">
      <w:pPr>
        <w:keepLines/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</w:pPr>
      <w:r w:rsidRPr="00EF414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How We Will Do It</w:t>
      </w:r>
    </w:p>
    <w:p w14:paraId="6C4DC73F" w14:textId="77777777" w:rsidR="00CE62BE" w:rsidRPr="00CB1FEA" w:rsidRDefault="00CE62BE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color w:val="000000"/>
          <w:sz w:val="22"/>
          <w:szCs w:val="22"/>
        </w:rPr>
      </w:pPr>
      <w:r w:rsidRPr="00CB1FEA">
        <w:rPr>
          <w:rStyle w:val="Forte"/>
          <w:rFonts w:ascii="Calibri" w:hAnsi="Calibri" w:cs="Calibri"/>
          <w:color w:val="000000"/>
          <w:sz w:val="22"/>
          <w:szCs w:val="22"/>
        </w:rPr>
        <w:t>First study:</w:t>
      </w:r>
      <w:r w:rsidRPr="00CB1FEA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CB1FEA">
        <w:rPr>
          <w:rFonts w:ascii="Calibri" w:hAnsi="Calibri" w:cs="Calibri"/>
          <w:color w:val="000000"/>
          <w:sz w:val="22"/>
          <w:szCs w:val="22"/>
        </w:rPr>
        <w:t>Glass</w:t>
      </w:r>
      <w:r w:rsidRPr="00CB1FEA">
        <w:rPr>
          <w:rFonts w:ascii="Calibri" w:hAnsi="Calibri" w:cs="Calibri"/>
          <w:color w:val="000000"/>
          <w:sz w:val="22"/>
          <w:szCs w:val="22"/>
        </w:rPr>
        <w:noBreakHyphen/>
        <w:t>ceramic discs (n=10) will be evaluated for their surface properties (roughness, contact angle, and microhardness) and surface characterization (SEM) at three time points: baseline, within 12 hours after 96 hours of erosive aging (immersive and dynamic) in a 1% HCl acidic solution (pH 1.2), and after 1 week of storage.</w:t>
      </w:r>
    </w:p>
    <w:p w14:paraId="0E204E5D" w14:textId="482C733D" w:rsidR="00CE62BE" w:rsidRPr="00CB1FEA" w:rsidRDefault="00CE62BE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color w:val="000000"/>
          <w:sz w:val="22"/>
          <w:szCs w:val="22"/>
        </w:rPr>
      </w:pPr>
      <w:r w:rsidRPr="00CB1FEA">
        <w:rPr>
          <w:rStyle w:val="Forte"/>
          <w:rFonts w:ascii="Calibri" w:hAnsi="Calibri" w:cs="Calibri"/>
          <w:color w:val="000000"/>
          <w:sz w:val="22"/>
          <w:szCs w:val="22"/>
        </w:rPr>
        <w:t>Second study:</w:t>
      </w:r>
      <w:r w:rsidRPr="00CB1FEA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CB1FEA">
        <w:rPr>
          <w:rFonts w:ascii="Calibri" w:hAnsi="Calibri" w:cs="Calibri"/>
          <w:color w:val="000000"/>
          <w:sz w:val="22"/>
          <w:szCs w:val="22"/>
        </w:rPr>
        <w:t>The same material and erosive protocol will be used, but for 48 hours (approximating 6 months of erosion), followed by toothbrushing abrasion in a brushing machine representing the same estimated period. The same surface properties and characterization analyses from the first study will be performed at baseline, after erosion, and after abrasion.</w:t>
      </w:r>
    </w:p>
    <w:p w14:paraId="1D104196" w14:textId="75980182" w:rsidR="007843B0" w:rsidRPr="00CB1FEA" w:rsidRDefault="007843B0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B1FEA">
        <w:rPr>
          <w:rFonts w:ascii="Calibri" w:hAnsi="Calibri" w:cs="Calibri"/>
          <w:b/>
          <w:bCs/>
          <w:color w:val="000000"/>
          <w:sz w:val="22"/>
          <w:szCs w:val="22"/>
        </w:rPr>
        <w:t>Thirdy Study:</w:t>
      </w:r>
    </w:p>
    <w:p w14:paraId="33C0E3A3" w14:textId="77777777" w:rsidR="00513B29" w:rsidRPr="00CB1FEA" w:rsidRDefault="00513B29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48F2EE4" w14:textId="77777777" w:rsidR="00513B29" w:rsidRPr="00CB1FEA" w:rsidRDefault="00513B29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14DE2A0" w14:textId="77777777" w:rsidR="00513B29" w:rsidRPr="00CB1FEA" w:rsidRDefault="00513B29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8EFEDF" w14:textId="77777777" w:rsidR="0055369A" w:rsidRPr="00CB1FEA" w:rsidRDefault="0055369A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77F392" w14:textId="77777777" w:rsidR="00CB1FEA" w:rsidRPr="00CB1FEA" w:rsidRDefault="00CB1FEA" w:rsidP="00DA7600">
      <w:pPr>
        <w:keepLines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2359B35" w14:textId="77777777" w:rsidR="0055369A" w:rsidRPr="00CB1FEA" w:rsidRDefault="0055369A" w:rsidP="00DA7600">
      <w:pPr>
        <w:keepLines/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</w:pPr>
    </w:p>
    <w:p w14:paraId="17D409DA" w14:textId="77777777" w:rsidR="00BE38B2" w:rsidRPr="00CB1FEA" w:rsidRDefault="00BE38B2" w:rsidP="00DA7600">
      <w:pPr>
        <w:keepLines/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</w:pPr>
    </w:p>
    <w:p w14:paraId="0132536C" w14:textId="77777777" w:rsidR="00665ABE" w:rsidRPr="00CB1FEA" w:rsidRDefault="00CE62BE" w:rsidP="00DA7600">
      <w:pPr>
        <w:pStyle w:val="NormalWeb"/>
        <w:keepLines/>
        <w:contextualSpacing/>
        <w:rPr>
          <w:rFonts w:ascii="Calibri" w:hAnsi="Calibri" w:cs="Calibri"/>
          <w:color w:val="000000"/>
          <w:sz w:val="22"/>
          <w:szCs w:val="22"/>
        </w:rPr>
      </w:pPr>
      <w:r w:rsidRPr="00CB1FEA">
        <w:rPr>
          <w:rStyle w:val="Forte"/>
          <w:rFonts w:ascii="Calibri" w:eastAsiaTheme="majorEastAsia" w:hAnsi="Calibri" w:cs="Calibri"/>
          <w:color w:val="000000"/>
          <w:sz w:val="22"/>
          <w:szCs w:val="22"/>
        </w:rPr>
        <w:t>Statistical analysis:</w:t>
      </w:r>
      <w:r w:rsidRPr="00CB1FEA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CB1FEA">
        <w:rPr>
          <w:rFonts w:ascii="Calibri" w:hAnsi="Calibri" w:cs="Calibri"/>
          <w:color w:val="000000"/>
          <w:sz w:val="22"/>
          <w:szCs w:val="22"/>
        </w:rPr>
        <w:t>Data from all</w:t>
      </w:r>
      <w:r w:rsidR="007843B0" w:rsidRPr="00CB1FEA">
        <w:rPr>
          <w:rFonts w:ascii="Calibri" w:hAnsi="Calibri" w:cs="Calibri"/>
          <w:color w:val="000000"/>
          <w:sz w:val="22"/>
          <w:szCs w:val="22"/>
        </w:rPr>
        <w:t xml:space="preserve"> the three</w:t>
      </w:r>
      <w:r w:rsidRPr="00CB1FEA">
        <w:rPr>
          <w:rFonts w:ascii="Calibri" w:hAnsi="Calibri" w:cs="Calibri"/>
          <w:color w:val="000000"/>
          <w:sz w:val="22"/>
          <w:szCs w:val="22"/>
        </w:rPr>
        <w:t xml:space="preserve"> studies will be analyzed using statistical tests determined by normality and homogeneity assessments, with a significance level of 5%.</w:t>
      </w:r>
    </w:p>
    <w:p w14:paraId="520619F2" w14:textId="77777777" w:rsidR="006F7B9D" w:rsidRPr="00CB1FEA" w:rsidRDefault="00EF414F" w:rsidP="00DA7600">
      <w:pPr>
        <w:pStyle w:val="NormalWeb"/>
        <w:keepLines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F414F">
        <w:rPr>
          <w:rFonts w:ascii="Calibri" w:hAnsi="Calibri" w:cs="Calibri"/>
          <w:b/>
          <w:bCs/>
          <w:color w:val="000000"/>
          <w:sz w:val="22"/>
          <w:szCs w:val="22"/>
        </w:rPr>
        <w:t>Why This Work Is Significant</w:t>
      </w:r>
    </w:p>
    <w:p w14:paraId="00278F5E" w14:textId="77777777" w:rsidR="006F7B9D" w:rsidRPr="00CB1FEA" w:rsidRDefault="00A144BB" w:rsidP="00DA7600">
      <w:pPr>
        <w:pStyle w:val="NormalWeb"/>
        <w:keepLines/>
        <w:contextualSpacing/>
        <w:rPr>
          <w:rFonts w:ascii="Calibri" w:hAnsi="Calibri" w:cs="Calibri"/>
          <w:color w:val="000000"/>
          <w:sz w:val="22"/>
          <w:szCs w:val="22"/>
        </w:rPr>
      </w:pPr>
      <w:r w:rsidRPr="00A144BB">
        <w:rPr>
          <w:rFonts w:ascii="Calibri" w:hAnsi="Calibri" w:cs="Calibri"/>
          <w:color w:val="000000"/>
          <w:sz w:val="22"/>
          <w:szCs w:val="22"/>
        </w:rPr>
        <w:t>By advancing a dynamic method, this project will generate data that strengthen clinical translation, clarify how restorative materials behave in patients with gastric disorders, guide the design of a next</w:t>
      </w:r>
      <w:r w:rsidRPr="00A144BB">
        <w:rPr>
          <w:rFonts w:ascii="Calibri" w:hAnsi="Calibri" w:cs="Calibri"/>
          <w:color w:val="000000"/>
          <w:sz w:val="22"/>
          <w:szCs w:val="22"/>
        </w:rPr>
        <w:noBreakHyphen/>
        <w:t>generation potentially patentable simulator, support larger translational and NIH</w:t>
      </w:r>
      <w:r w:rsidRPr="00A144BB">
        <w:rPr>
          <w:rFonts w:ascii="Calibri" w:hAnsi="Calibri" w:cs="Calibri"/>
          <w:color w:val="000000"/>
          <w:sz w:val="22"/>
          <w:szCs w:val="22"/>
        </w:rPr>
        <w:noBreakHyphen/>
        <w:t>level funding efforts, and ultimately improve long</w:t>
      </w:r>
      <w:r w:rsidRPr="00A144BB">
        <w:rPr>
          <w:rFonts w:ascii="Calibri" w:hAnsi="Calibri" w:cs="Calibri"/>
          <w:color w:val="000000"/>
          <w:sz w:val="22"/>
          <w:szCs w:val="22"/>
        </w:rPr>
        <w:noBreakHyphen/>
        <w:t>term outcomes for vulnerable patient populations.</w:t>
      </w:r>
    </w:p>
    <w:p w14:paraId="77469DDF" w14:textId="04FAABC7" w:rsidR="00CB1FEA" w:rsidRPr="00CB1FEA" w:rsidRDefault="00EF414F" w:rsidP="00DA7600">
      <w:pPr>
        <w:pStyle w:val="NormalWeb"/>
        <w:keepLines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F414F">
        <w:rPr>
          <w:rFonts w:ascii="Calibri" w:hAnsi="Calibri" w:cs="Calibri"/>
          <w:b/>
          <w:bCs/>
          <w:color w:val="000000"/>
          <w:sz w:val="22"/>
          <w:szCs w:val="22"/>
        </w:rPr>
        <w:t>How the Project Can Be Sustained Going Forward</w:t>
      </w:r>
    </w:p>
    <w:p w14:paraId="55150BC9" w14:textId="339C268C" w:rsidR="00812086" w:rsidRPr="00CB1FEA" w:rsidRDefault="00EF414F" w:rsidP="00DA7600">
      <w:pPr>
        <w:pStyle w:val="NormalWeb"/>
        <w:keepLines/>
        <w:contextualSpacing/>
        <w:rPr>
          <w:rFonts w:ascii="Calibri" w:hAnsi="Calibri" w:cs="Calibri"/>
          <w:color w:val="000000"/>
          <w:sz w:val="22"/>
          <w:szCs w:val="22"/>
        </w:rPr>
      </w:pPr>
      <w:r w:rsidRPr="00EF414F">
        <w:rPr>
          <w:rFonts w:ascii="Calibri" w:hAnsi="Calibri" w:cs="Calibri"/>
          <w:color w:val="000000"/>
          <w:sz w:val="22"/>
          <w:szCs w:val="22"/>
        </w:rPr>
        <w:t>The data generated will provide the mechanical, and biological benchmarks necessary to optimize our simulator design. These results will directly support the development of a more advanced, clinically realistic device, enabling subsequent</w:t>
      </w:r>
      <w:r w:rsidR="00035E84" w:rsidRPr="00CB1F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414F">
        <w:rPr>
          <w:rFonts w:ascii="Calibri" w:hAnsi="Calibri" w:cs="Calibri"/>
          <w:color w:val="000000"/>
          <w:sz w:val="22"/>
          <w:szCs w:val="22"/>
        </w:rPr>
        <w:t>patent submission for the new simulator,</w:t>
      </w:r>
      <w:r w:rsidR="00035E84" w:rsidRPr="00CB1F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414F">
        <w:rPr>
          <w:rFonts w:ascii="Calibri" w:hAnsi="Calibri" w:cs="Calibri"/>
          <w:color w:val="000000"/>
          <w:sz w:val="22"/>
          <w:szCs w:val="22"/>
        </w:rPr>
        <w:t>multi</w:t>
      </w:r>
      <w:r w:rsidRPr="00EF414F">
        <w:rPr>
          <w:rFonts w:ascii="Calibri" w:hAnsi="Calibri" w:cs="Calibri"/>
          <w:color w:val="000000"/>
          <w:sz w:val="22"/>
          <w:szCs w:val="22"/>
        </w:rPr>
        <w:noBreakHyphen/>
        <w:t>institutional collaborations,</w:t>
      </w:r>
      <w:r w:rsidR="00035E84" w:rsidRPr="00CB1FEA">
        <w:rPr>
          <w:rFonts w:ascii="Calibri" w:hAnsi="Calibri" w:cs="Calibri"/>
          <w:color w:val="000000"/>
          <w:sz w:val="22"/>
          <w:szCs w:val="22"/>
        </w:rPr>
        <w:t xml:space="preserve"> l</w:t>
      </w:r>
      <w:r w:rsidRPr="00EF414F">
        <w:rPr>
          <w:rFonts w:ascii="Calibri" w:hAnsi="Calibri" w:cs="Calibri"/>
          <w:color w:val="000000"/>
          <w:sz w:val="22"/>
          <w:szCs w:val="22"/>
        </w:rPr>
        <w:t>arger funding applications (NIH, industry partnerships), and</w:t>
      </w:r>
      <w:r w:rsidR="00035E84" w:rsidRPr="00CB1F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414F">
        <w:rPr>
          <w:rFonts w:ascii="Calibri" w:hAnsi="Calibri" w:cs="Calibri"/>
          <w:color w:val="000000"/>
          <w:sz w:val="22"/>
          <w:szCs w:val="22"/>
        </w:rPr>
        <w:t>expansion into clinical translational studies once technological validation is complete.</w:t>
      </w:r>
      <w:r w:rsidR="00035E84" w:rsidRPr="00CB1F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414F">
        <w:rPr>
          <w:rFonts w:ascii="Calibri" w:hAnsi="Calibri" w:cs="Calibri"/>
          <w:color w:val="000000"/>
          <w:sz w:val="22"/>
          <w:szCs w:val="22"/>
        </w:rPr>
        <w:t>This phase is essential to securing external funding and establishing a long</w:t>
      </w:r>
      <w:r w:rsidRPr="00EF414F">
        <w:rPr>
          <w:rFonts w:ascii="Calibri" w:hAnsi="Calibri" w:cs="Calibri"/>
          <w:color w:val="000000"/>
          <w:sz w:val="22"/>
          <w:szCs w:val="22"/>
        </w:rPr>
        <w:noBreakHyphen/>
        <w:t>term research line focused on endogenous erosion and restorative material performance.</w:t>
      </w:r>
    </w:p>
    <w:sectPr w:rsidR="00812086" w:rsidRPr="00CB1F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6C0B"/>
    <w:multiLevelType w:val="multilevel"/>
    <w:tmpl w:val="7F8A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759F6"/>
    <w:multiLevelType w:val="multilevel"/>
    <w:tmpl w:val="DCDC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C0B0F"/>
    <w:multiLevelType w:val="multilevel"/>
    <w:tmpl w:val="C40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92243"/>
    <w:multiLevelType w:val="multilevel"/>
    <w:tmpl w:val="552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023534">
    <w:abstractNumId w:val="1"/>
  </w:num>
  <w:num w:numId="2" w16cid:durableId="863322061">
    <w:abstractNumId w:val="3"/>
  </w:num>
  <w:num w:numId="3" w16cid:durableId="582494147">
    <w:abstractNumId w:val="2"/>
  </w:num>
  <w:num w:numId="4" w16cid:durableId="60909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F"/>
    <w:rsid w:val="00035E84"/>
    <w:rsid w:val="00513B29"/>
    <w:rsid w:val="0055369A"/>
    <w:rsid w:val="005B7DC5"/>
    <w:rsid w:val="00665ABE"/>
    <w:rsid w:val="006F7B9D"/>
    <w:rsid w:val="007067A1"/>
    <w:rsid w:val="007843B0"/>
    <w:rsid w:val="00812086"/>
    <w:rsid w:val="00960162"/>
    <w:rsid w:val="00A144BB"/>
    <w:rsid w:val="00AC34E9"/>
    <w:rsid w:val="00B002D0"/>
    <w:rsid w:val="00BE38B2"/>
    <w:rsid w:val="00C77214"/>
    <w:rsid w:val="00CB1FEA"/>
    <w:rsid w:val="00CE62BE"/>
    <w:rsid w:val="00DA7600"/>
    <w:rsid w:val="00E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511AF"/>
  <w15:chartTrackingRefBased/>
  <w15:docId w15:val="{3174A19B-475B-D345-B12F-0AB9686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14F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EF414F"/>
    <w:rPr>
      <w:b/>
      <w:bCs/>
    </w:rPr>
  </w:style>
  <w:style w:type="paragraph" w:styleId="NormalWeb">
    <w:name w:val="Normal (Web)"/>
    <w:basedOn w:val="Normal"/>
    <w:uiPriority w:val="99"/>
    <w:unhideWhenUsed/>
    <w:rsid w:val="00EF41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EF414F"/>
  </w:style>
  <w:style w:type="character" w:styleId="nfase">
    <w:name w:val="Emphasis"/>
    <w:basedOn w:val="Fontepargpadro"/>
    <w:uiPriority w:val="20"/>
    <w:qFormat/>
    <w:rsid w:val="00EF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460</Words>
  <Characters>2838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Lara Christie</dc:creator>
  <cp:keywords/>
  <dc:description/>
  <cp:lastModifiedBy>Monteiro, Lara Christie</cp:lastModifiedBy>
  <cp:revision>11</cp:revision>
  <dcterms:created xsi:type="dcterms:W3CDTF">2026-03-02T17:45:00Z</dcterms:created>
  <dcterms:modified xsi:type="dcterms:W3CDTF">2026-03-02T18:58:00Z</dcterms:modified>
</cp:coreProperties>
</file>