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pacing w:before="0" w:after="0"/>
        <w:contextualSpacing/>
        <w:jc w:val="both"/>
        <w:rPr/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ULSD Clinical/Translational Project</w:t>
        <w:tab/>
      </w:r>
      <w:r>
        <w:rPr>
          <w:rFonts w:cs="Calibri" w:ascii="Calibri" w:hAnsi="Calibri"/>
          <w:color w:val="000000"/>
          <w:sz w:val="22"/>
          <w:szCs w:val="22"/>
        </w:rPr>
        <w:t>PIs: Lara C Monteiro and Matthew Ramsey</w:t>
      </w:r>
    </w:p>
    <w:p>
      <w:pPr>
        <w:pStyle w:val="Normal"/>
        <w:keepLines/>
        <w:spacing w:before="0"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 </w:t>
      </w:r>
    </w:p>
    <w:p>
      <w:pPr>
        <w:pStyle w:val="Normal"/>
        <w:keepLines/>
        <w:numPr>
          <w:ilvl w:val="0"/>
          <w:numId w:val="0"/>
        </w:numPr>
        <w:spacing w:beforeAutospacing="1" w:afterAutospacing="1"/>
        <w:ind w:hanging="0" w:start="0"/>
        <w:contextualSpacing/>
        <w:jc w:val="both"/>
        <w:outlineLvl w:val="1"/>
        <w:rPr/>
      </w:pP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Endogenous dental erosion caused by gastric disorders significantly affects restorative materials. Bulimia nervosa (self</w:t>
        <w:noBreakHyphen/>
        <w:t xml:space="preserve">induced vomiting) leads to acid exposure, 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when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 xml:space="preserve"> combined with mechanical loading, 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 xml:space="preserve">is 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identified as the most detrimental condition for dental wear. However, clinical research is limited due to patient anonymity and privacy constraints, making 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lang w:eastAsia="pt-BR"/>
        </w:rPr>
        <w:t>in vitro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 xml:space="preserve"> simulation the primary method of investigation.</w:t>
      </w:r>
      <w:r>
        <w:rPr>
          <w:rFonts w:eastAsia="Times New Roman" w:cs="Calibri" w:ascii="Calibri" w:hAnsi="Calibri"/>
          <w:b/>
          <w:bCs/>
          <w:color w:val="000000"/>
          <w:sz w:val="22"/>
          <w:szCs w:val="22"/>
          <w:lang w:eastAsia="pt-BR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000000"/>
          <w:sz w:val="22"/>
          <w:szCs w:val="22"/>
          <w:shd w:fill="FFFF00" w:val="clear"/>
          <w:lang w:eastAsia="pt-BR"/>
        </w:rPr>
        <w:t xml:space="preserve">Currently, 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 xml:space="preserve">n 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v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 xml:space="preserve">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m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u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s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q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u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m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y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g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y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c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u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b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f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m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s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f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d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u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s,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p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y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u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p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g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u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l 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 xml:space="preserve">n 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v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>v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2"/>
          <w:szCs w:val="22"/>
          <w:shd w:fill="FFFF00" w:val="clear"/>
          <w:lang w:eastAsia="pt-BR"/>
        </w:rPr>
        <w:t xml:space="preserve">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m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g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h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 xml:space="preserve">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u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b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eastAsia="pt-BR"/>
        </w:rPr>
        <w:t>s.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 xml:space="preserve">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r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 xml:space="preserve">s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h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 xml:space="preserve">s,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2"/>
          <w:szCs w:val="22"/>
          <w:lang w:eastAsia="pt-BR"/>
        </w:rPr>
        <w:t>o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 xml:space="preserve">ur group has  developed a gastric simulator, reproducing acidic flow and pressure observed during vomiting. Following our recent publication (Monteiro et al., 2025), new questions have emerged that must be addressed to 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refine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 xml:space="preserve"> a future device 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which are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:</w:t>
      </w:r>
      <w:r>
        <w:rPr>
          <w:rFonts w:eastAsia="Times New Roman" w:cs="Calibri" w:ascii="Calibri" w:hAnsi="Calibri"/>
          <w:b/>
          <w:bCs/>
          <w:color w:val="000000"/>
          <w:sz w:val="22"/>
          <w:szCs w:val="22"/>
          <w:lang w:eastAsia="pt-BR"/>
        </w:rPr>
        <w:t xml:space="preserve"> 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1. Whether the </w:t>
      </w:r>
      <w:r>
        <w:rPr>
          <w:rFonts w:eastAsia="Times New Roman" w:cs="Calibri" w:ascii="Calibri" w:hAnsi="Calibri"/>
          <w:b/>
          <w:bCs/>
          <w:color w:val="000000"/>
          <w:sz w:val="22"/>
          <w:szCs w:val="22"/>
          <w:lang w:eastAsia="pt-BR"/>
        </w:rPr>
        <w:t>time interval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 between erosive aging and surface property testing influences outcomes in erosion studies. 2. How the </w:t>
      </w:r>
      <w:r>
        <w:rPr>
          <w:rFonts w:eastAsia="Times New Roman" w:cs="Calibri" w:ascii="Calibri" w:hAnsi="Calibri"/>
          <w:b/>
          <w:bCs/>
          <w:color w:val="000000"/>
          <w:sz w:val="22"/>
          <w:szCs w:val="22"/>
          <w:lang w:eastAsia="pt-BR"/>
        </w:rPr>
        <w:t>combined effect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 of endogenous erosion and simulated toothbrushing abrasion differs when comparing the </w:t>
      </w:r>
      <w:r>
        <w:rPr>
          <w:rFonts w:eastAsia="Times New Roman" w:cs="Calibri" w:ascii="Calibri" w:hAnsi="Calibri"/>
          <w:b/>
          <w:bCs/>
          <w:color w:val="000000"/>
          <w:sz w:val="22"/>
          <w:szCs w:val="22"/>
          <w:lang w:eastAsia="pt-BR"/>
        </w:rPr>
        <w:t>immersive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 to the </w:t>
      </w:r>
      <w:r>
        <w:rPr>
          <w:rFonts w:eastAsia="Times New Roman" w:cs="Calibri" w:ascii="Calibri" w:hAnsi="Calibri"/>
          <w:b/>
          <w:bCs/>
          <w:color w:val="000000"/>
          <w:sz w:val="22"/>
          <w:szCs w:val="22"/>
          <w:lang w:eastAsia="pt-BR"/>
        </w:rPr>
        <w:t>dynamic method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>. 3. Whether the proposed dynamic method impacts </w:t>
      </w:r>
      <w:r>
        <w:rPr>
          <w:rFonts w:eastAsia="Times New Roman" w:cs="Calibri" w:ascii="Calibri" w:hAnsi="Calibri"/>
          <w:b/>
          <w:bCs/>
          <w:color w:val="000000"/>
          <w:sz w:val="22"/>
          <w:szCs w:val="22"/>
          <w:lang w:eastAsia="pt-BR"/>
        </w:rPr>
        <w:t>bacterial adhesion capacity</w:t>
      </w:r>
      <w:r>
        <w:rPr>
          <w:rFonts w:eastAsia="Times New Roman" w:cs="Calibri" w:ascii="Calibri" w:hAnsi="Calibri"/>
          <w:color w:val="000000"/>
          <w:sz w:val="22"/>
          <w:szCs w:val="22"/>
          <w:lang w:eastAsia="pt-BR"/>
        </w:rPr>
        <w:t xml:space="preserve"> on restorative material surfaces. </w:t>
      </w:r>
      <w:r>
        <w:rPr>
          <w:rFonts w:eastAsia="Times New Roman" w:cs="Calibri" w:ascii="Calibri" w:hAnsi="Calibri"/>
          <w:color w:val="000000"/>
          <w:sz w:val="22"/>
          <w:szCs w:val="22"/>
          <w:u w:val="single"/>
          <w:shd w:fill="FFFF00" w:val="clear"/>
          <w:lang w:eastAsia="pt-BR"/>
        </w:rPr>
        <w:t xml:space="preserve">We hypothesize </w:t>
      </w:r>
      <w:r>
        <w:rPr>
          <w:rFonts w:eastAsia="Times New Roman" w:cs="Calibri" w:ascii="Calibri" w:hAnsi="Calibri"/>
          <w:color w:val="000000"/>
          <w:sz w:val="22"/>
          <w:szCs w:val="22"/>
          <w:u w:val="none"/>
          <w:shd w:fill="FFFF00" w:val="clear"/>
          <w:lang w:eastAsia="pt-BR"/>
        </w:rPr>
        <w:t xml:space="preserve">that gastric simulator results will be quantifiably different than traditional 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none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none"/>
          <w:shd w:fill="FFFF00" w:val="clear"/>
          <w:lang w:eastAsia="pt-BR"/>
        </w:rPr>
        <w:t xml:space="preserve">n 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none"/>
          <w:shd w:fill="FFFF00" w:val="clear"/>
          <w:lang w:eastAsia="pt-BR"/>
        </w:rPr>
        <w:t>v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none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none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none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none"/>
          <w:shd w:fill="FFFF00" w:val="clear"/>
          <w:lang w:eastAsia="pt-BR"/>
        </w:rPr>
        <w:t xml:space="preserve">o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m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h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d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s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a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d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p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p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e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o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s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t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h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s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h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u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g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h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h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e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f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l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o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w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 xml:space="preserve">g 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x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p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r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i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m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e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n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t</w:t>
      </w:r>
      <w:r>
        <w:rPr>
          <w:rFonts w:eastAsia="Times New Roman" w:cs="Calibri" w:ascii="Calibri" w:hAnsi="Calibri"/>
          <w:i w:val="false"/>
          <w:iCs w:val="false"/>
          <w:color w:val="000000"/>
          <w:sz w:val="22"/>
          <w:szCs w:val="22"/>
          <w:u w:val="none"/>
          <w:shd w:fill="FFFF00" w:val="clear"/>
          <w:lang w:eastAsia="pt-BR"/>
        </w:rPr>
        <w:t>s.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start="0"/>
        <w:contextualSpacing/>
        <w:jc w:val="both"/>
        <w:outlineLvl w:val="1"/>
        <w:rPr/>
      </w:pPr>
      <w:r>
        <w:rPr/>
      </w:r>
    </w:p>
    <w:p>
      <w:pPr>
        <w:pStyle w:val="Normal"/>
        <w:keepLines/>
        <w:numPr>
          <w:ilvl w:val="0"/>
          <w:numId w:val="0"/>
        </w:numPr>
        <w:spacing w:beforeAutospacing="1" w:afterAutospacing="1"/>
        <w:ind w:hanging="0" w:start="0"/>
        <w:contextualSpacing/>
        <w:jc w:val="both"/>
        <w:outlineLvl w:val="1"/>
        <w:rPr/>
      </w:pPr>
      <w:r>
        <w:rPr>
          <w:rStyle w:val="Strong"/>
          <w:rFonts w:cs="Calibri" w:ascii="Calibri" w:hAnsi="Calibri"/>
          <w:color w:val="000000"/>
          <w:sz w:val="22"/>
          <w:szCs w:val="22"/>
        </w:rPr>
        <w:t>First study:</w:t>
      </w:r>
      <w:r>
        <w:rPr>
          <w:rStyle w:val="apple-converted-space"/>
          <w:rFonts w:cs="Calibri" w:ascii="Calibri" w:hAnsi="Calibri"/>
          <w:color w:val="000000"/>
          <w:sz w:val="22"/>
          <w:szCs w:val="22"/>
        </w:rPr>
        <w:t> </w:t>
      </w:r>
      <w:r>
        <w:rPr>
          <w:rFonts w:cs="Calibri" w:ascii="Calibri" w:hAnsi="Calibri"/>
          <w:color w:val="000000"/>
          <w:sz w:val="22"/>
          <w:szCs w:val="22"/>
        </w:rPr>
        <w:t>Glass</w:t>
        <w:noBreakHyphen/>
        <w:t>ceramic discs (n=10) will be evaluated for their surface properties (roughness, contact angle, and microhardness) and surface characterization (SEM) at three time points: baseline, within 12 hours after 96 hours of erosive aging (immersive and dynamic) in a 1% HCl acidic solution (pH 1.2), and after 1 week of storage.</w:t>
      </w:r>
    </w:p>
    <w:p>
      <w:pPr>
        <w:pStyle w:val="Normal"/>
        <w:keepLines/>
        <w:numPr>
          <w:ilvl w:val="0"/>
          <w:numId w:val="0"/>
        </w:numPr>
        <w:spacing w:beforeAutospacing="1" w:afterAutospacing="1"/>
        <w:ind w:hanging="0" w:start="0"/>
        <w:contextualSpacing/>
        <w:jc w:val="both"/>
        <w:outlineLvl w:val="1"/>
        <w:rPr/>
      </w:pPr>
      <w:r>
        <w:rPr>
          <w:rStyle w:val="Strong"/>
          <w:rFonts w:cs="Calibri" w:ascii="Calibri" w:hAnsi="Calibri"/>
          <w:color w:val="000000"/>
          <w:sz w:val="22"/>
          <w:szCs w:val="22"/>
        </w:rPr>
        <w:t>Second study:</w:t>
      </w:r>
      <w:r>
        <w:rPr>
          <w:rStyle w:val="apple-converted-space"/>
          <w:rFonts w:cs="Calibri" w:ascii="Calibri" w:hAnsi="Calibri"/>
          <w:color w:val="000000"/>
          <w:sz w:val="22"/>
          <w:szCs w:val="22"/>
        </w:rPr>
        <w:t> </w:t>
      </w:r>
      <w:r>
        <w:rPr>
          <w:rFonts w:cs="Calibri" w:ascii="Calibri" w:hAnsi="Calibri"/>
          <w:color w:val="000000"/>
          <w:sz w:val="22"/>
          <w:szCs w:val="22"/>
        </w:rPr>
        <w:t>The same material and erosive protocol will be used, but for 48 hours (approximating 6 months of erosion), followed by toothbrushing abrasion in a brushing machine representing the same estimated period. The same surface properties and characterization analyses from the first study will be performed at baseline, after erosion, and after abrasion.</w:t>
      </w:r>
    </w:p>
    <w:p>
      <w:pPr>
        <w:pStyle w:val="Normal"/>
        <w:keepLines/>
        <w:numPr>
          <w:ilvl w:val="0"/>
          <w:numId w:val="0"/>
        </w:numPr>
        <w:spacing w:beforeAutospacing="1" w:afterAutospacing="1"/>
        <w:ind w:hanging="0" w:start="0"/>
        <w:contextualSpacing/>
        <w:jc w:val="both"/>
        <w:outlineLvl w:val="1"/>
        <w:rPr/>
      </w:pP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Thirdy Study: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To quantify bacterial adhesion, treated and untreated discs will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>undergo sterile saliva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 pellicle formation. Donor supragingival plaque (SUPP), collected under Dr. Ramsey’s IRB protocol (#24.0794),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>will be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 added in sterile saliva and incubated for 4 hours to allow for bacterial attachment. Discs will be washed in sterile PBS, submerged in bacterial lysis buffer and briefly sonicated. 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>qPCR of isolated DNA will be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 used to quantify 16S bacterial rDNA for each treatment, bacteria free (-) and excess bacterial (+) controls. </w:t>
      </w:r>
      <w:r>
        <w:rPr>
          <w:rStyle w:val="Strong"/>
          <w:rFonts w:eastAsia="" w:cs="Calibri" w:ascii="Calibri" w:hAnsi="Calibri" w:eastAsiaTheme="majorEastAsia"/>
          <w:b w:val="false"/>
          <w:bCs w:val="false"/>
          <w:color w:val="000000"/>
          <w:sz w:val="22"/>
          <w:szCs w:val="22"/>
          <w:u w:val="single"/>
        </w:rPr>
        <w:t>Statistical analys</w:t>
      </w:r>
      <w:r>
        <w:rPr>
          <w:rStyle w:val="Strong"/>
          <w:rFonts w:eastAsia="" w:cs="Calibri" w:ascii="Calibri" w:hAnsi="Calibri" w:eastAsiaTheme="majorEastAsia"/>
          <w:b w:val="false"/>
          <w:bCs w:val="false"/>
          <w:color w:val="000000"/>
          <w:sz w:val="22"/>
          <w:szCs w:val="22"/>
          <w:u w:val="single"/>
        </w:rPr>
        <w:t>e</w:t>
      </w:r>
      <w:r>
        <w:rPr>
          <w:rStyle w:val="Strong"/>
          <w:rFonts w:eastAsia="" w:cs="Calibri" w:ascii="Calibri" w:hAnsi="Calibri" w:eastAsiaTheme="majorEastAsia"/>
          <w:b w:val="false"/>
          <w:bCs w:val="false"/>
          <w:color w:val="000000"/>
          <w:sz w:val="22"/>
          <w:szCs w:val="22"/>
          <w:u w:val="single"/>
        </w:rPr>
        <w:t>s:</w:t>
      </w:r>
      <w:r>
        <w:rPr>
          <w:rStyle w:val="apple-converted-space"/>
          <w:rFonts w:eastAsia="" w:cs="Calibri" w:ascii="Calibri" w:hAnsi="Calibri" w:eastAsiaTheme="majorEastAsia"/>
          <w:b w:val="false"/>
          <w:bCs w:val="false"/>
          <w:color w:val="000000"/>
          <w:sz w:val="22"/>
          <w:szCs w:val="22"/>
          <w:u w:val="single"/>
        </w:rPr>
        <w:t> </w:t>
      </w:r>
      <w:r>
        <w:rPr>
          <w:rFonts w:cs="Calibri" w:ascii="Calibri" w:hAnsi="Calibri"/>
          <w:color w:val="000000"/>
          <w:sz w:val="22"/>
          <w:szCs w:val="22"/>
        </w:rPr>
        <w:t>Data from all the three studies will be analyzed using statistical tests determined by normality and homogeneity assessments, with a significance level of 5%.</w:t>
      </w:r>
    </w:p>
    <w:p>
      <w:pPr>
        <w:pStyle w:val="NormalWeb"/>
        <w:keepLines/>
        <w:spacing w:before="280" w:after="280"/>
        <w:contextualSpacing/>
        <w:jc w:val="both"/>
        <w:rPr/>
      </w:pPr>
      <w:r>
        <w:rPr>
          <w:rFonts w:cs="Calibri" w:ascii="Calibri" w:hAnsi="Calibri"/>
          <w:color w:val="000000"/>
          <w:sz w:val="22"/>
          <w:szCs w:val="22"/>
        </w:rPr>
        <w:t xml:space="preserve">By advancing a dynamic method, this project will generate data that strengthens clinical translation, </w:t>
      </w:r>
      <w:r>
        <w:rPr>
          <w:rFonts w:cs="Calibri" w:ascii="Calibri" w:hAnsi="Calibri"/>
          <w:color w:val="000000"/>
          <w:sz w:val="22"/>
          <w:szCs w:val="22"/>
        </w:rPr>
        <w:t>better defining</w:t>
      </w:r>
      <w:r>
        <w:rPr>
          <w:rFonts w:cs="Calibri" w:ascii="Calibri" w:hAnsi="Calibri"/>
          <w:color w:val="000000"/>
          <w:sz w:val="22"/>
          <w:szCs w:val="22"/>
        </w:rPr>
        <w:t xml:space="preserve"> how restorative materials behave in patients with gastric disorders, guide the design of a next</w:t>
        <w:noBreakHyphen/>
        <w:t>generation potentially patentable simulator, support larger translational and NIH</w:t>
        <w:noBreakHyphen/>
        <w:t>level funding efforts, and ultimately improve long</w:t>
        <w:noBreakHyphen/>
        <w:t xml:space="preserve">term outcomes for vulnerable patient populations. </w:t>
      </w:r>
      <w:r>
        <w:rPr>
          <w:rFonts w:cs="Calibri" w:ascii="Calibri" w:hAnsi="Calibri"/>
          <w:color w:val="000000"/>
          <w:sz w:val="22"/>
          <w:szCs w:val="22"/>
        </w:rPr>
        <w:t xml:space="preserve">The data generated will provide the mechanical, and biological benchmarks necessary to optimize our simulator design. </w:t>
      </w:r>
      <w:r>
        <w:rPr>
          <w:rFonts w:cs="Calibri" w:ascii="Calibri" w:hAnsi="Calibri"/>
          <w:color w:val="000000"/>
          <w:sz w:val="22"/>
          <w:szCs w:val="22"/>
        </w:rPr>
        <w:t>This</w:t>
      </w:r>
      <w:r>
        <w:rPr>
          <w:rFonts w:cs="Calibri" w:ascii="Calibri" w:hAnsi="Calibri"/>
          <w:color w:val="000000"/>
          <w:sz w:val="22"/>
          <w:szCs w:val="22"/>
        </w:rPr>
        <w:t xml:space="preserve"> will directly support the development of a more advanced, clinically realistic device. </w:t>
      </w:r>
      <w:r>
        <w:rPr>
          <w:rFonts w:cs="Calibri" w:ascii="Calibri" w:hAnsi="Calibri"/>
          <w:color w:val="000000"/>
          <w:sz w:val="22"/>
          <w:szCs w:val="22"/>
          <w:shd w:fill="FFFF00" w:val="clear"/>
        </w:rPr>
        <w:t>If successful, we will utilize these data to support an NIH R01 application focused on further device optimization and investigation into how acidification influences the native tooth microbiome.</w:t>
      </w:r>
      <w:r>
        <w:rPr>
          <w:rFonts w:cs="Calibri" w:ascii="Calibri" w:hAnsi="Calibri"/>
          <w:color w:val="000000"/>
          <w:sz w:val="22"/>
          <w:szCs w:val="22"/>
        </w:rPr>
        <w:t xml:space="preserve"> We will also pursue patent submission for the new simulator, as well as expansion into clinical translational studies once technological validation is complete. </w:t>
      </w:r>
    </w:p>
    <w:p>
      <w:pPr>
        <w:pStyle w:val="NormalWeb"/>
        <w:spacing w:before="280" w:after="28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Web"/>
        <w:spacing w:before="280" w:after="28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US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ef414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ef414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f414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f414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f414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f414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f414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f414f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f414f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Heading1"/>
    <w:uiPriority w:val="9"/>
    <w:qFormat/>
    <w:rsid w:val="00ef41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link w:val="Heading2"/>
    <w:uiPriority w:val="9"/>
    <w:qFormat/>
    <w:rsid w:val="00ef41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link w:val="Heading3"/>
    <w:uiPriority w:val="9"/>
    <w:semiHidden/>
    <w:qFormat/>
    <w:rsid w:val="00ef414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link w:val="Heading4"/>
    <w:uiPriority w:val="9"/>
    <w:semiHidden/>
    <w:qFormat/>
    <w:rsid w:val="00ef414f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link w:val="Heading5"/>
    <w:uiPriority w:val="9"/>
    <w:semiHidden/>
    <w:qFormat/>
    <w:rsid w:val="00ef414f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link w:val="Heading6"/>
    <w:uiPriority w:val="9"/>
    <w:semiHidden/>
    <w:qFormat/>
    <w:rsid w:val="00ef414f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link w:val="Heading7"/>
    <w:uiPriority w:val="9"/>
    <w:semiHidden/>
    <w:qFormat/>
    <w:rsid w:val="00ef414f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link w:val="Heading8"/>
    <w:uiPriority w:val="9"/>
    <w:semiHidden/>
    <w:qFormat/>
    <w:rsid w:val="00ef414f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link w:val="Heading9"/>
    <w:uiPriority w:val="9"/>
    <w:semiHidden/>
    <w:qFormat/>
    <w:rsid w:val="00ef414f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itle"/>
    <w:uiPriority w:val="10"/>
    <w:qFormat/>
    <w:rsid w:val="00ef414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itle"/>
    <w:uiPriority w:val="11"/>
    <w:qFormat/>
    <w:rsid w:val="00ef414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ef414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f414f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ef414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f414f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ef414f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ef414f"/>
    <w:rPr/>
  </w:style>
  <w:style w:type="character" w:styleId="Emphasis">
    <w:name w:val="Emphasis"/>
    <w:basedOn w:val="DefaultParagraphFont"/>
    <w:uiPriority w:val="20"/>
    <w:qFormat/>
    <w:rsid w:val="00ef414f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/>
    <w:rsid w:val="00ef414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f414f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f414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f414f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ef414f"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LibreOffice/25.8.5.2$Linux_X86_64 LibreOffice_project/0a83992ddd0e2b597cee35287e827f1098541bd9</Application>
  <AppVersion>15.0000</AppVersion>
  <Pages>1</Pages>
  <Words>551</Words>
  <Characters>3338</Characters>
  <CharactersWithSpaces>3886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2026-03-02T17:45:00Z</dcterms:created>
  <dc:creator>Monteiro, Lara Christie</dc:creator>
  <dc:description/>
  <dc:language>en-US</dc:language>
  <cp:lastModifiedBy/>
  <dcterms:modified xsi:type="dcterms:W3CDTF">2026-03-04T11:48:20Z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